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31" w:rsidRDefault="005B1731" w:rsidP="005B1731">
      <w:pPr>
        <w:jc w:val="center"/>
        <w:rPr>
          <w:sz w:val="36"/>
          <w:szCs w:val="36"/>
        </w:rPr>
      </w:pPr>
    </w:p>
    <w:p w:rsidR="0076433E" w:rsidRDefault="0076433E" w:rsidP="0076433E">
      <w:pPr>
        <w:jc w:val="center"/>
        <w:rPr>
          <w:sz w:val="36"/>
          <w:szCs w:val="36"/>
        </w:rPr>
      </w:pPr>
      <w:r w:rsidRPr="005B1731">
        <w:rPr>
          <w:rFonts w:hint="eastAsia"/>
          <w:sz w:val="36"/>
          <w:szCs w:val="36"/>
        </w:rPr>
        <w:t>药物</w:t>
      </w:r>
      <w:r w:rsidRPr="005B1731">
        <w:rPr>
          <w:rFonts w:hint="eastAsia"/>
          <w:sz w:val="36"/>
          <w:szCs w:val="36"/>
        </w:rPr>
        <w:t>/</w:t>
      </w:r>
      <w:r w:rsidRPr="005B1731">
        <w:rPr>
          <w:rFonts w:hint="eastAsia"/>
          <w:sz w:val="36"/>
          <w:szCs w:val="36"/>
        </w:rPr>
        <w:t>医疗器械临床试验数据安全监察计划</w:t>
      </w:r>
    </w:p>
    <w:p w:rsidR="00CB4CF4" w:rsidRDefault="00CB4CF4" w:rsidP="005B1731">
      <w:pPr>
        <w:jc w:val="center"/>
        <w:rPr>
          <w:szCs w:val="21"/>
        </w:rPr>
      </w:pPr>
    </w:p>
    <w:p w:rsidR="005B1731" w:rsidRPr="00562BD9" w:rsidRDefault="00E27AE1" w:rsidP="005B1731">
      <w:pPr>
        <w:jc w:val="center"/>
        <w:rPr>
          <w:szCs w:val="21"/>
        </w:rPr>
      </w:pPr>
      <w:r w:rsidRPr="00E27AE1">
        <w:rPr>
          <w:rFonts w:hint="eastAsia"/>
          <w:szCs w:val="21"/>
        </w:rPr>
        <w:t>版本号：</w:t>
      </w:r>
      <w:r w:rsidRPr="00E27AE1">
        <w:rPr>
          <w:szCs w:val="21"/>
        </w:rPr>
        <w:t xml:space="preserve">  </w:t>
      </w:r>
    </w:p>
    <w:p w:rsidR="005B1731" w:rsidRPr="00562BD9" w:rsidRDefault="00E27AE1" w:rsidP="005B1731">
      <w:pPr>
        <w:jc w:val="center"/>
        <w:rPr>
          <w:szCs w:val="21"/>
        </w:rPr>
      </w:pPr>
      <w:r w:rsidRPr="00E27AE1">
        <w:rPr>
          <w:rFonts w:hint="eastAsia"/>
          <w:szCs w:val="21"/>
        </w:rPr>
        <w:t>版本日期：</w:t>
      </w:r>
    </w:p>
    <w:p w:rsidR="005B1731" w:rsidRPr="00562BD9" w:rsidRDefault="005B1731">
      <w:pPr>
        <w:rPr>
          <w:sz w:val="28"/>
          <w:szCs w:val="28"/>
        </w:rPr>
      </w:pPr>
    </w:p>
    <w:p w:rsidR="005B1731" w:rsidRPr="0076433E" w:rsidRDefault="00D82747">
      <w:pPr>
        <w:rPr>
          <w:sz w:val="28"/>
          <w:szCs w:val="28"/>
        </w:rPr>
      </w:pPr>
      <w:r>
        <w:rPr>
          <w:rFonts w:hint="eastAsia"/>
          <w:sz w:val="28"/>
          <w:szCs w:val="28"/>
        </w:rPr>
        <w:t>项目名称</w:t>
      </w:r>
      <w:r w:rsidR="0076433E">
        <w:rPr>
          <w:rFonts w:hint="eastAsia"/>
          <w:sz w:val="28"/>
          <w:szCs w:val="28"/>
        </w:rPr>
        <w:t>：</w:t>
      </w:r>
      <w:r w:rsidR="005B1731" w:rsidRPr="0076433E">
        <w:rPr>
          <w:rFonts w:hint="eastAsia"/>
          <w:sz w:val="28"/>
          <w:szCs w:val="28"/>
        </w:rPr>
        <w:t xml:space="preserve">                      </w:t>
      </w:r>
    </w:p>
    <w:p w:rsidR="005B1731" w:rsidRPr="0076433E" w:rsidRDefault="005B1731">
      <w:pPr>
        <w:rPr>
          <w:sz w:val="28"/>
          <w:szCs w:val="28"/>
        </w:rPr>
      </w:pPr>
    </w:p>
    <w:p w:rsidR="005B1731" w:rsidRPr="0076433E" w:rsidRDefault="005B1731">
      <w:pPr>
        <w:rPr>
          <w:sz w:val="28"/>
          <w:szCs w:val="28"/>
        </w:rPr>
      </w:pPr>
    </w:p>
    <w:p w:rsidR="005B1731" w:rsidRPr="0076433E" w:rsidRDefault="005B1731">
      <w:pPr>
        <w:rPr>
          <w:sz w:val="28"/>
          <w:szCs w:val="28"/>
        </w:rPr>
      </w:pPr>
      <w:r w:rsidRPr="0076433E">
        <w:rPr>
          <w:rFonts w:hint="eastAsia"/>
          <w:sz w:val="28"/>
          <w:szCs w:val="28"/>
        </w:rPr>
        <w:t>申办方</w:t>
      </w:r>
    </w:p>
    <w:p w:rsidR="005B1731" w:rsidRPr="0076433E" w:rsidRDefault="005B1731">
      <w:pPr>
        <w:rPr>
          <w:sz w:val="28"/>
          <w:szCs w:val="28"/>
        </w:rPr>
      </w:pPr>
    </w:p>
    <w:p w:rsidR="005B1731" w:rsidRPr="0076433E" w:rsidRDefault="005B1731">
      <w:pPr>
        <w:rPr>
          <w:sz w:val="28"/>
          <w:szCs w:val="28"/>
        </w:rPr>
      </w:pPr>
    </w:p>
    <w:p w:rsidR="005B1731" w:rsidRPr="0076433E" w:rsidRDefault="005B1731" w:rsidP="00712453">
      <w:pPr>
        <w:outlineLvl w:val="0"/>
        <w:rPr>
          <w:sz w:val="28"/>
          <w:szCs w:val="28"/>
        </w:rPr>
      </w:pPr>
      <w:r w:rsidRPr="0076433E">
        <w:rPr>
          <w:rFonts w:hint="eastAsia"/>
          <w:sz w:val="28"/>
          <w:szCs w:val="28"/>
        </w:rPr>
        <w:t>CRO</w:t>
      </w:r>
      <w:r w:rsidRPr="0076433E">
        <w:rPr>
          <w:rFonts w:hint="eastAsia"/>
          <w:sz w:val="28"/>
          <w:szCs w:val="28"/>
        </w:rPr>
        <w:t>：</w:t>
      </w:r>
    </w:p>
    <w:p w:rsidR="005B1731" w:rsidRPr="0076433E" w:rsidRDefault="005B1731">
      <w:pPr>
        <w:rPr>
          <w:sz w:val="28"/>
          <w:szCs w:val="28"/>
        </w:rPr>
      </w:pPr>
    </w:p>
    <w:p w:rsidR="005B1731" w:rsidRPr="0076433E" w:rsidRDefault="005B1731">
      <w:pPr>
        <w:rPr>
          <w:sz w:val="28"/>
          <w:szCs w:val="28"/>
        </w:rPr>
      </w:pPr>
    </w:p>
    <w:p w:rsidR="005B1731" w:rsidRPr="0076433E" w:rsidRDefault="005B1731">
      <w:pPr>
        <w:rPr>
          <w:sz w:val="28"/>
          <w:szCs w:val="28"/>
        </w:rPr>
      </w:pPr>
    </w:p>
    <w:p w:rsidR="005B1731" w:rsidRPr="0076433E" w:rsidRDefault="005B1731">
      <w:pPr>
        <w:rPr>
          <w:sz w:val="28"/>
          <w:szCs w:val="28"/>
        </w:rPr>
      </w:pPr>
      <w:r w:rsidRPr="0076433E">
        <w:rPr>
          <w:rFonts w:hint="eastAsia"/>
          <w:sz w:val="28"/>
          <w:szCs w:val="28"/>
        </w:rPr>
        <w:t>主要研究者：</w:t>
      </w:r>
    </w:p>
    <w:p w:rsidR="005B1731" w:rsidRPr="0076433E" w:rsidRDefault="005B1731">
      <w:pPr>
        <w:rPr>
          <w:sz w:val="28"/>
          <w:szCs w:val="28"/>
        </w:rPr>
      </w:pPr>
    </w:p>
    <w:p w:rsidR="005B1731" w:rsidRPr="0076433E" w:rsidRDefault="005B1731">
      <w:pPr>
        <w:rPr>
          <w:sz w:val="28"/>
          <w:szCs w:val="28"/>
        </w:rPr>
      </w:pPr>
    </w:p>
    <w:p w:rsidR="005B1731" w:rsidRPr="0076433E" w:rsidRDefault="005B1731">
      <w:pPr>
        <w:rPr>
          <w:sz w:val="28"/>
          <w:szCs w:val="28"/>
        </w:rPr>
      </w:pPr>
      <w:r w:rsidRPr="0076433E">
        <w:rPr>
          <w:rFonts w:hint="eastAsia"/>
          <w:sz w:val="28"/>
          <w:szCs w:val="28"/>
        </w:rPr>
        <w:t>制定日期：</w:t>
      </w:r>
    </w:p>
    <w:p w:rsidR="00E73335" w:rsidRDefault="0076433E">
      <w:pPr>
        <w:rPr>
          <w:sz w:val="28"/>
          <w:szCs w:val="28"/>
        </w:rPr>
      </w:pPr>
      <w:r>
        <w:rPr>
          <w:rFonts w:hint="eastAsia"/>
          <w:sz w:val="28"/>
          <w:szCs w:val="28"/>
        </w:rPr>
        <w:t>制定人：</w:t>
      </w:r>
    </w:p>
    <w:p w:rsidR="00386398" w:rsidRDefault="00386398">
      <w:pPr>
        <w:rPr>
          <w:sz w:val="28"/>
          <w:szCs w:val="28"/>
        </w:rPr>
      </w:pPr>
    </w:p>
    <w:p w:rsidR="00386398" w:rsidRDefault="00386398">
      <w:pPr>
        <w:rPr>
          <w:sz w:val="28"/>
          <w:szCs w:val="28"/>
        </w:rPr>
      </w:pPr>
    </w:p>
    <w:p w:rsidR="00386398" w:rsidRPr="0076433E" w:rsidRDefault="00386398">
      <w:pPr>
        <w:rPr>
          <w:sz w:val="28"/>
          <w:szCs w:val="28"/>
        </w:rPr>
      </w:pPr>
    </w:p>
    <w:p w:rsidR="0076433E" w:rsidRPr="00843E24" w:rsidRDefault="00E00966" w:rsidP="00843E24">
      <w:pPr>
        <w:rPr>
          <w:sz w:val="28"/>
          <w:szCs w:val="28"/>
        </w:rPr>
      </w:pPr>
      <w:r>
        <w:rPr>
          <w:rFonts w:hint="eastAsia"/>
          <w:sz w:val="28"/>
          <w:szCs w:val="28"/>
        </w:rPr>
        <w:lastRenderedPageBreak/>
        <w:t xml:space="preserve">1 </w:t>
      </w:r>
      <w:r w:rsidR="00000246" w:rsidRPr="00000246">
        <w:rPr>
          <w:rFonts w:hint="eastAsia"/>
          <w:sz w:val="28"/>
          <w:szCs w:val="28"/>
        </w:rPr>
        <w:t>对项目的风险等级评估及理由</w:t>
      </w:r>
      <w:r w:rsidR="00192D06">
        <w:rPr>
          <w:rFonts w:hint="eastAsia"/>
          <w:sz w:val="28"/>
          <w:szCs w:val="28"/>
        </w:rPr>
        <w:t>（风险等级分类参见</w:t>
      </w:r>
      <w:r w:rsidR="00153B35">
        <w:rPr>
          <w:rFonts w:hint="eastAsia"/>
          <w:sz w:val="28"/>
          <w:szCs w:val="28"/>
        </w:rPr>
        <w:t>下文</w:t>
      </w:r>
      <w:r w:rsidR="00B46D67">
        <w:rPr>
          <w:rFonts w:hint="eastAsia"/>
          <w:sz w:val="28"/>
          <w:szCs w:val="28"/>
        </w:rPr>
        <w:t>说明</w:t>
      </w:r>
      <w:r w:rsidR="00192D06">
        <w:rPr>
          <w:rFonts w:hint="eastAsia"/>
          <w:sz w:val="28"/>
          <w:szCs w:val="28"/>
        </w:rPr>
        <w:t>）</w:t>
      </w:r>
    </w:p>
    <w:p w:rsidR="00843E24" w:rsidRPr="00843E24" w:rsidRDefault="00843E24" w:rsidP="00843E24">
      <w:pPr>
        <w:rPr>
          <w:sz w:val="28"/>
          <w:szCs w:val="28"/>
        </w:rPr>
      </w:pPr>
    </w:p>
    <w:p w:rsidR="001A0A5E" w:rsidRPr="0076433E" w:rsidRDefault="00E00966" w:rsidP="0076433E">
      <w:pPr>
        <w:rPr>
          <w:sz w:val="28"/>
          <w:szCs w:val="28"/>
        </w:rPr>
      </w:pPr>
      <w:r>
        <w:rPr>
          <w:rFonts w:hint="eastAsia"/>
          <w:sz w:val="28"/>
          <w:szCs w:val="28"/>
        </w:rPr>
        <w:t xml:space="preserve">2 </w:t>
      </w:r>
      <w:r w:rsidR="00843E24">
        <w:rPr>
          <w:rFonts w:hint="eastAsia"/>
          <w:sz w:val="28"/>
          <w:szCs w:val="28"/>
        </w:rPr>
        <w:t>拟定的</w:t>
      </w:r>
      <w:r w:rsidR="001A0A5E" w:rsidRPr="0076433E">
        <w:rPr>
          <w:rFonts w:hint="eastAsia"/>
          <w:sz w:val="28"/>
          <w:szCs w:val="28"/>
        </w:rPr>
        <w:t>监察频率：</w:t>
      </w:r>
    </w:p>
    <w:p w:rsidR="001A0A5E" w:rsidRPr="00843E24" w:rsidRDefault="001A0A5E" w:rsidP="001A0A5E">
      <w:pPr>
        <w:rPr>
          <w:i/>
          <w:sz w:val="28"/>
          <w:szCs w:val="28"/>
        </w:rPr>
      </w:pPr>
      <w:r w:rsidRPr="00843E24">
        <w:rPr>
          <w:rFonts w:hint="eastAsia"/>
          <w:i/>
          <w:sz w:val="28"/>
          <w:szCs w:val="28"/>
        </w:rPr>
        <w:t>如：时间节点，决定和调整频率的考虑因素等</w:t>
      </w:r>
    </w:p>
    <w:p w:rsidR="001A0A5E" w:rsidRPr="0076433E" w:rsidRDefault="001A0A5E" w:rsidP="001A0A5E">
      <w:pPr>
        <w:rPr>
          <w:sz w:val="28"/>
          <w:szCs w:val="28"/>
        </w:rPr>
      </w:pPr>
    </w:p>
    <w:p w:rsidR="001A0A5E" w:rsidRPr="0076433E" w:rsidRDefault="00E00966" w:rsidP="0076433E">
      <w:pPr>
        <w:rPr>
          <w:sz w:val="28"/>
          <w:szCs w:val="28"/>
        </w:rPr>
      </w:pPr>
      <w:r>
        <w:rPr>
          <w:rFonts w:hint="eastAsia"/>
          <w:sz w:val="28"/>
          <w:szCs w:val="28"/>
        </w:rPr>
        <w:t xml:space="preserve">3 </w:t>
      </w:r>
      <w:r w:rsidR="001A0A5E" w:rsidRPr="0076433E">
        <w:rPr>
          <w:rFonts w:hint="eastAsia"/>
          <w:sz w:val="28"/>
          <w:szCs w:val="28"/>
        </w:rPr>
        <w:t>谁来监察：</w:t>
      </w:r>
    </w:p>
    <w:p w:rsidR="001A0A5E" w:rsidRPr="0076433E" w:rsidRDefault="001A0A5E" w:rsidP="001A0A5E">
      <w:pPr>
        <w:rPr>
          <w:sz w:val="28"/>
          <w:szCs w:val="28"/>
        </w:rPr>
      </w:pPr>
      <w:r w:rsidRPr="0076433E">
        <w:rPr>
          <w:rFonts w:hint="eastAsia"/>
          <w:i/>
          <w:sz w:val="28"/>
          <w:szCs w:val="28"/>
        </w:rPr>
        <w:t>（建议：分为</w:t>
      </w:r>
      <w:r w:rsidRPr="0076433E">
        <w:rPr>
          <w:rFonts w:hint="eastAsia"/>
          <w:i/>
          <w:sz w:val="28"/>
          <w:szCs w:val="28"/>
        </w:rPr>
        <w:t>CRA,</w:t>
      </w:r>
      <w:r w:rsidRPr="0076433E">
        <w:rPr>
          <w:rFonts w:hint="eastAsia"/>
          <w:i/>
          <w:sz w:val="28"/>
          <w:szCs w:val="28"/>
        </w:rPr>
        <w:t>独立于试验之外的专业内部质控员，必要时成立</w:t>
      </w:r>
      <w:r w:rsidRPr="0076433E">
        <w:rPr>
          <w:rFonts w:hint="eastAsia"/>
          <w:i/>
          <w:sz w:val="28"/>
          <w:szCs w:val="28"/>
        </w:rPr>
        <w:t>DSMB</w:t>
      </w:r>
      <w:r w:rsidRPr="0076433E">
        <w:rPr>
          <w:rFonts w:hint="eastAsia"/>
          <w:sz w:val="28"/>
          <w:szCs w:val="28"/>
        </w:rPr>
        <w:t>）</w:t>
      </w:r>
    </w:p>
    <w:p w:rsidR="001A0A5E" w:rsidRPr="0076433E" w:rsidRDefault="001A0A5E" w:rsidP="001A0A5E">
      <w:pPr>
        <w:rPr>
          <w:sz w:val="28"/>
          <w:szCs w:val="28"/>
        </w:rPr>
      </w:pPr>
    </w:p>
    <w:p w:rsidR="001A0A5E" w:rsidRPr="00843E24" w:rsidRDefault="00E00966" w:rsidP="00843E24">
      <w:pPr>
        <w:rPr>
          <w:sz w:val="28"/>
          <w:szCs w:val="28"/>
        </w:rPr>
      </w:pPr>
      <w:r>
        <w:rPr>
          <w:rFonts w:hint="eastAsia"/>
          <w:sz w:val="28"/>
          <w:szCs w:val="28"/>
        </w:rPr>
        <w:t xml:space="preserve">4 </w:t>
      </w:r>
      <w:r w:rsidR="001903E1" w:rsidRPr="00843E24">
        <w:rPr>
          <w:rFonts w:hint="eastAsia"/>
          <w:sz w:val="28"/>
          <w:szCs w:val="28"/>
        </w:rPr>
        <w:t>需要特别关注的数据：</w:t>
      </w:r>
    </w:p>
    <w:p w:rsidR="006D60B3" w:rsidRPr="0076433E" w:rsidRDefault="00E00966" w:rsidP="006D60B3">
      <w:pPr>
        <w:rPr>
          <w:sz w:val="28"/>
          <w:szCs w:val="28"/>
        </w:rPr>
      </w:pPr>
      <w:r>
        <w:rPr>
          <w:rFonts w:hint="eastAsia"/>
          <w:sz w:val="28"/>
          <w:szCs w:val="28"/>
        </w:rPr>
        <w:t>4.</w:t>
      </w:r>
      <w:r w:rsidR="006D60B3" w:rsidRPr="0076433E">
        <w:rPr>
          <w:rFonts w:hint="eastAsia"/>
          <w:sz w:val="28"/>
          <w:szCs w:val="28"/>
        </w:rPr>
        <w:t>1.</w:t>
      </w:r>
      <w:r w:rsidR="006D60B3" w:rsidRPr="0076433E">
        <w:rPr>
          <w:rFonts w:hint="eastAsia"/>
          <w:sz w:val="28"/>
          <w:szCs w:val="28"/>
        </w:rPr>
        <w:t>临床前、前期临床试验或国内外同种</w:t>
      </w:r>
      <w:r w:rsidR="006D60B3" w:rsidRPr="0076433E">
        <w:rPr>
          <w:rFonts w:hint="eastAsia"/>
          <w:sz w:val="28"/>
          <w:szCs w:val="28"/>
        </w:rPr>
        <w:t>/</w:t>
      </w:r>
      <w:r w:rsidR="006D60B3" w:rsidRPr="0076433E">
        <w:rPr>
          <w:rFonts w:hint="eastAsia"/>
          <w:sz w:val="28"/>
          <w:szCs w:val="28"/>
        </w:rPr>
        <w:t>同类药品</w:t>
      </w:r>
      <w:r w:rsidR="006D60B3" w:rsidRPr="0076433E">
        <w:rPr>
          <w:rFonts w:hint="eastAsia"/>
          <w:sz w:val="28"/>
          <w:szCs w:val="28"/>
        </w:rPr>
        <w:t>/</w:t>
      </w:r>
      <w:r w:rsidR="006D60B3" w:rsidRPr="0076433E">
        <w:rPr>
          <w:rFonts w:hint="eastAsia"/>
          <w:sz w:val="28"/>
          <w:szCs w:val="28"/>
        </w:rPr>
        <w:t>器械中发现的不良反应</w:t>
      </w:r>
    </w:p>
    <w:p w:rsidR="006D60B3" w:rsidRPr="0076433E" w:rsidRDefault="006D60B3" w:rsidP="006D60B3">
      <w:pPr>
        <w:rPr>
          <w:sz w:val="28"/>
          <w:szCs w:val="28"/>
        </w:rPr>
      </w:pPr>
    </w:p>
    <w:p w:rsidR="006D60B3" w:rsidRPr="0076433E" w:rsidRDefault="00E00966" w:rsidP="006D60B3">
      <w:pPr>
        <w:rPr>
          <w:sz w:val="28"/>
          <w:szCs w:val="28"/>
        </w:rPr>
      </w:pPr>
      <w:r>
        <w:rPr>
          <w:rFonts w:hint="eastAsia"/>
          <w:sz w:val="28"/>
          <w:szCs w:val="28"/>
        </w:rPr>
        <w:t>4.</w:t>
      </w:r>
      <w:r w:rsidR="006D60B3" w:rsidRPr="0076433E">
        <w:rPr>
          <w:rFonts w:hint="eastAsia"/>
          <w:sz w:val="28"/>
          <w:szCs w:val="28"/>
        </w:rPr>
        <w:t>2</w:t>
      </w:r>
      <w:r w:rsidR="006D60B3" w:rsidRPr="0076433E">
        <w:rPr>
          <w:rFonts w:hint="eastAsia"/>
          <w:sz w:val="28"/>
          <w:szCs w:val="28"/>
        </w:rPr>
        <w:t>安全警戒值：</w:t>
      </w:r>
      <w:r w:rsidR="006D60B3" w:rsidRPr="0076433E">
        <w:rPr>
          <w:rFonts w:hint="eastAsia"/>
          <w:sz w:val="28"/>
          <w:szCs w:val="28"/>
        </w:rPr>
        <w:t>AE/SAE/SUSAR</w:t>
      </w:r>
    </w:p>
    <w:p w:rsidR="006D60B3" w:rsidRDefault="00E00966" w:rsidP="006D60B3">
      <w:pPr>
        <w:rPr>
          <w:sz w:val="28"/>
          <w:szCs w:val="28"/>
        </w:rPr>
      </w:pPr>
      <w:r>
        <w:rPr>
          <w:rFonts w:hint="eastAsia"/>
          <w:sz w:val="28"/>
          <w:szCs w:val="28"/>
        </w:rPr>
        <w:t>4.</w:t>
      </w:r>
      <w:r w:rsidR="0076433E" w:rsidRPr="0076433E">
        <w:rPr>
          <w:rFonts w:hint="eastAsia"/>
          <w:sz w:val="28"/>
          <w:szCs w:val="28"/>
        </w:rPr>
        <w:t xml:space="preserve">2.1 </w:t>
      </w:r>
      <w:r w:rsidR="0076433E" w:rsidRPr="0076433E">
        <w:rPr>
          <w:rFonts w:hint="eastAsia"/>
          <w:sz w:val="28"/>
          <w:szCs w:val="28"/>
        </w:rPr>
        <w:t>预期</w:t>
      </w:r>
    </w:p>
    <w:p w:rsidR="00843E24" w:rsidRPr="0076433E" w:rsidRDefault="00843E24" w:rsidP="006D60B3">
      <w:pPr>
        <w:rPr>
          <w:sz w:val="28"/>
          <w:szCs w:val="28"/>
        </w:rPr>
      </w:pPr>
    </w:p>
    <w:p w:rsidR="006D60B3" w:rsidRDefault="00E00966" w:rsidP="006D60B3">
      <w:pPr>
        <w:rPr>
          <w:sz w:val="28"/>
          <w:szCs w:val="28"/>
        </w:rPr>
      </w:pPr>
      <w:r>
        <w:rPr>
          <w:rFonts w:hint="eastAsia"/>
          <w:sz w:val="28"/>
          <w:szCs w:val="28"/>
        </w:rPr>
        <w:t>4.</w:t>
      </w:r>
      <w:r w:rsidR="00843E24">
        <w:rPr>
          <w:rFonts w:hint="eastAsia"/>
          <w:sz w:val="28"/>
          <w:szCs w:val="28"/>
        </w:rPr>
        <w:t xml:space="preserve">2.2 </w:t>
      </w:r>
      <w:r w:rsidR="00843E24">
        <w:rPr>
          <w:rFonts w:hint="eastAsia"/>
          <w:sz w:val="28"/>
          <w:szCs w:val="28"/>
        </w:rPr>
        <w:t>非预期</w:t>
      </w:r>
    </w:p>
    <w:p w:rsidR="00843E24" w:rsidRPr="0076433E" w:rsidRDefault="00843E24" w:rsidP="006D60B3">
      <w:pPr>
        <w:rPr>
          <w:sz w:val="28"/>
          <w:szCs w:val="28"/>
        </w:rPr>
      </w:pPr>
    </w:p>
    <w:p w:rsidR="006D60B3" w:rsidRPr="0076433E" w:rsidRDefault="00E00966" w:rsidP="006D60B3">
      <w:pPr>
        <w:rPr>
          <w:sz w:val="28"/>
          <w:szCs w:val="28"/>
        </w:rPr>
      </w:pPr>
      <w:r>
        <w:rPr>
          <w:rFonts w:hint="eastAsia"/>
          <w:sz w:val="28"/>
          <w:szCs w:val="28"/>
        </w:rPr>
        <w:t>4.</w:t>
      </w:r>
      <w:r w:rsidR="006D60B3" w:rsidRPr="0076433E">
        <w:rPr>
          <w:rFonts w:hint="eastAsia"/>
          <w:sz w:val="28"/>
          <w:szCs w:val="28"/>
        </w:rPr>
        <w:t>3</w:t>
      </w:r>
      <w:r w:rsidR="00086735">
        <w:rPr>
          <w:rFonts w:hint="eastAsia"/>
          <w:sz w:val="28"/>
          <w:szCs w:val="28"/>
        </w:rPr>
        <w:t>易于出现</w:t>
      </w:r>
      <w:r w:rsidR="006D60B3" w:rsidRPr="0076433E">
        <w:rPr>
          <w:rFonts w:hint="eastAsia"/>
          <w:sz w:val="28"/>
          <w:szCs w:val="28"/>
        </w:rPr>
        <w:t>方案偏离</w:t>
      </w:r>
      <w:r w:rsidR="006D60B3" w:rsidRPr="0076433E">
        <w:rPr>
          <w:rFonts w:hint="eastAsia"/>
          <w:sz w:val="28"/>
          <w:szCs w:val="28"/>
        </w:rPr>
        <w:t>/</w:t>
      </w:r>
      <w:r w:rsidR="006D60B3" w:rsidRPr="0076433E">
        <w:rPr>
          <w:rFonts w:hint="eastAsia"/>
          <w:sz w:val="28"/>
          <w:szCs w:val="28"/>
        </w:rPr>
        <w:t>违背情况</w:t>
      </w:r>
    </w:p>
    <w:p w:rsidR="006D60B3" w:rsidRPr="0076433E" w:rsidRDefault="006D60B3" w:rsidP="006D60B3">
      <w:pPr>
        <w:rPr>
          <w:sz w:val="28"/>
          <w:szCs w:val="28"/>
        </w:rPr>
      </w:pPr>
    </w:p>
    <w:p w:rsidR="006D60B3" w:rsidRPr="0076433E" w:rsidRDefault="006D60B3" w:rsidP="006D60B3">
      <w:pPr>
        <w:rPr>
          <w:sz w:val="28"/>
          <w:szCs w:val="28"/>
        </w:rPr>
      </w:pPr>
    </w:p>
    <w:p w:rsidR="00000246" w:rsidRPr="00000246" w:rsidRDefault="00E00966" w:rsidP="00000246">
      <w:pPr>
        <w:rPr>
          <w:sz w:val="28"/>
          <w:szCs w:val="28"/>
        </w:rPr>
      </w:pPr>
      <w:r>
        <w:rPr>
          <w:rFonts w:hint="eastAsia"/>
          <w:sz w:val="28"/>
          <w:szCs w:val="28"/>
        </w:rPr>
        <w:t xml:space="preserve">5 </w:t>
      </w:r>
      <w:r w:rsidR="00000246" w:rsidRPr="00000246">
        <w:rPr>
          <w:rFonts w:hint="eastAsia"/>
          <w:sz w:val="28"/>
          <w:szCs w:val="28"/>
        </w:rPr>
        <w:t>对安全数据分析、解释的流程和预案</w:t>
      </w:r>
    </w:p>
    <w:p w:rsidR="0076433E" w:rsidRPr="0076433E" w:rsidRDefault="0076433E" w:rsidP="0076433E">
      <w:pPr>
        <w:rPr>
          <w:sz w:val="28"/>
          <w:szCs w:val="28"/>
        </w:rPr>
      </w:pPr>
    </w:p>
    <w:p w:rsidR="0076433E" w:rsidRPr="0076433E" w:rsidRDefault="00E00966" w:rsidP="0076433E">
      <w:pPr>
        <w:rPr>
          <w:sz w:val="28"/>
          <w:szCs w:val="28"/>
        </w:rPr>
      </w:pPr>
      <w:r>
        <w:rPr>
          <w:rFonts w:hint="eastAsia"/>
          <w:sz w:val="28"/>
          <w:szCs w:val="28"/>
        </w:rPr>
        <w:t xml:space="preserve">6 </w:t>
      </w:r>
      <w:r w:rsidR="0076433E" w:rsidRPr="0076433E">
        <w:rPr>
          <w:rFonts w:hint="eastAsia"/>
          <w:sz w:val="28"/>
          <w:szCs w:val="28"/>
        </w:rPr>
        <w:t>解决数据安全问题的对策</w:t>
      </w:r>
    </w:p>
    <w:p w:rsidR="0076433E" w:rsidRDefault="00E00966" w:rsidP="0076433E">
      <w:pPr>
        <w:rPr>
          <w:sz w:val="28"/>
          <w:szCs w:val="28"/>
        </w:rPr>
      </w:pPr>
      <w:r>
        <w:rPr>
          <w:rFonts w:hint="eastAsia"/>
          <w:sz w:val="28"/>
          <w:szCs w:val="28"/>
        </w:rPr>
        <w:t>6</w:t>
      </w:r>
      <w:r w:rsidR="00843E24">
        <w:rPr>
          <w:rFonts w:hint="eastAsia"/>
          <w:sz w:val="28"/>
          <w:szCs w:val="28"/>
        </w:rPr>
        <w:t xml:space="preserve">.1 </w:t>
      </w:r>
      <w:r w:rsidR="00843E24">
        <w:rPr>
          <w:rFonts w:hint="eastAsia"/>
          <w:sz w:val="28"/>
          <w:szCs w:val="28"/>
        </w:rPr>
        <w:t>预期问题的预案</w:t>
      </w:r>
    </w:p>
    <w:p w:rsidR="00843E24" w:rsidRDefault="00843E24" w:rsidP="0076433E">
      <w:pPr>
        <w:rPr>
          <w:i/>
          <w:sz w:val="28"/>
          <w:szCs w:val="28"/>
        </w:rPr>
      </w:pPr>
      <w:r w:rsidRPr="00843E24">
        <w:rPr>
          <w:rFonts w:hint="eastAsia"/>
          <w:i/>
          <w:sz w:val="28"/>
          <w:szCs w:val="28"/>
        </w:rPr>
        <w:t>（针对预期问题拟的治疗和随访计划）</w:t>
      </w:r>
    </w:p>
    <w:p w:rsidR="008719A1" w:rsidRPr="00843E24" w:rsidRDefault="008719A1" w:rsidP="0076433E">
      <w:pPr>
        <w:rPr>
          <w:i/>
          <w:sz w:val="28"/>
          <w:szCs w:val="28"/>
        </w:rPr>
      </w:pPr>
    </w:p>
    <w:p w:rsidR="00843E24" w:rsidRDefault="00E00966" w:rsidP="0076433E">
      <w:pPr>
        <w:rPr>
          <w:sz w:val="28"/>
          <w:szCs w:val="28"/>
        </w:rPr>
      </w:pPr>
      <w:r>
        <w:rPr>
          <w:rFonts w:hint="eastAsia"/>
          <w:sz w:val="28"/>
          <w:szCs w:val="28"/>
        </w:rPr>
        <w:t>6</w:t>
      </w:r>
      <w:r w:rsidR="00843E24">
        <w:rPr>
          <w:rFonts w:hint="eastAsia"/>
          <w:sz w:val="28"/>
          <w:szCs w:val="28"/>
        </w:rPr>
        <w:t xml:space="preserve">.2 </w:t>
      </w:r>
      <w:r w:rsidR="00843E24">
        <w:rPr>
          <w:rFonts w:hint="eastAsia"/>
          <w:sz w:val="28"/>
          <w:szCs w:val="28"/>
        </w:rPr>
        <w:t>非预期问题的处理预案</w:t>
      </w:r>
    </w:p>
    <w:p w:rsidR="00843E24" w:rsidRDefault="00843E24" w:rsidP="0076433E">
      <w:pPr>
        <w:rPr>
          <w:i/>
          <w:sz w:val="28"/>
          <w:szCs w:val="28"/>
        </w:rPr>
      </w:pPr>
      <w:r w:rsidRPr="00843E24">
        <w:rPr>
          <w:rFonts w:hint="eastAsia"/>
          <w:i/>
          <w:sz w:val="28"/>
          <w:szCs w:val="28"/>
        </w:rPr>
        <w:t>（</w:t>
      </w:r>
      <w:r>
        <w:rPr>
          <w:rFonts w:hint="eastAsia"/>
          <w:i/>
          <w:sz w:val="28"/>
          <w:szCs w:val="28"/>
        </w:rPr>
        <w:t>如有效联系电话和报告途径、紧急联系人、救治小组人员及分工、急救绿色通道等</w:t>
      </w:r>
      <w:r w:rsidRPr="00843E24">
        <w:rPr>
          <w:rFonts w:hint="eastAsia"/>
          <w:i/>
          <w:sz w:val="28"/>
          <w:szCs w:val="28"/>
        </w:rPr>
        <w:t>）</w:t>
      </w:r>
    </w:p>
    <w:p w:rsidR="008719A1" w:rsidRDefault="008719A1" w:rsidP="0076433E">
      <w:pPr>
        <w:rPr>
          <w:i/>
          <w:sz w:val="28"/>
          <w:szCs w:val="28"/>
        </w:rPr>
      </w:pPr>
    </w:p>
    <w:p w:rsidR="00086735" w:rsidRPr="0076433E" w:rsidRDefault="00E00966" w:rsidP="00086735">
      <w:pPr>
        <w:rPr>
          <w:sz w:val="28"/>
          <w:szCs w:val="28"/>
        </w:rPr>
      </w:pPr>
      <w:r>
        <w:rPr>
          <w:rFonts w:hint="eastAsia"/>
          <w:sz w:val="28"/>
          <w:szCs w:val="28"/>
        </w:rPr>
        <w:t>6</w:t>
      </w:r>
      <w:r w:rsidR="008719A1">
        <w:rPr>
          <w:rFonts w:hint="eastAsia"/>
          <w:sz w:val="28"/>
          <w:szCs w:val="28"/>
        </w:rPr>
        <w:t xml:space="preserve">.3 </w:t>
      </w:r>
      <w:r w:rsidR="00086735">
        <w:rPr>
          <w:rFonts w:hint="eastAsia"/>
          <w:sz w:val="28"/>
          <w:szCs w:val="28"/>
        </w:rPr>
        <w:t>对可能发生的</w:t>
      </w:r>
      <w:r w:rsidR="00086735" w:rsidRPr="0076433E">
        <w:rPr>
          <w:rFonts w:hint="eastAsia"/>
          <w:sz w:val="28"/>
          <w:szCs w:val="28"/>
        </w:rPr>
        <w:t>方案偏离</w:t>
      </w:r>
      <w:r w:rsidR="00086735" w:rsidRPr="0076433E">
        <w:rPr>
          <w:rFonts w:hint="eastAsia"/>
          <w:sz w:val="28"/>
          <w:szCs w:val="28"/>
        </w:rPr>
        <w:t>/</w:t>
      </w:r>
      <w:r w:rsidR="00086735" w:rsidRPr="0076433E">
        <w:rPr>
          <w:rFonts w:hint="eastAsia"/>
          <w:sz w:val="28"/>
          <w:szCs w:val="28"/>
        </w:rPr>
        <w:t>违背</w:t>
      </w:r>
      <w:r w:rsidR="00086735">
        <w:rPr>
          <w:rFonts w:hint="eastAsia"/>
          <w:sz w:val="28"/>
          <w:szCs w:val="28"/>
        </w:rPr>
        <w:t>预防措施</w:t>
      </w:r>
    </w:p>
    <w:p w:rsidR="008719A1" w:rsidRPr="00086735" w:rsidRDefault="008719A1" w:rsidP="0076433E">
      <w:pPr>
        <w:rPr>
          <w:sz w:val="28"/>
          <w:szCs w:val="28"/>
        </w:rPr>
      </w:pPr>
    </w:p>
    <w:p w:rsidR="0076433E" w:rsidRPr="0076433E" w:rsidRDefault="00E00966" w:rsidP="0076433E">
      <w:pPr>
        <w:rPr>
          <w:sz w:val="28"/>
          <w:szCs w:val="28"/>
        </w:rPr>
      </w:pPr>
      <w:r>
        <w:rPr>
          <w:rFonts w:hint="eastAsia"/>
          <w:sz w:val="28"/>
          <w:szCs w:val="28"/>
        </w:rPr>
        <w:t xml:space="preserve">7 </w:t>
      </w:r>
      <w:r w:rsidR="0076433E" w:rsidRPr="0076433E">
        <w:rPr>
          <w:rFonts w:hint="eastAsia"/>
          <w:sz w:val="28"/>
          <w:szCs w:val="28"/>
        </w:rPr>
        <w:t>报告机制</w:t>
      </w:r>
    </w:p>
    <w:p w:rsidR="0076433E" w:rsidRPr="0076433E" w:rsidRDefault="0076433E" w:rsidP="0076433E">
      <w:pPr>
        <w:rPr>
          <w:i/>
          <w:sz w:val="28"/>
          <w:szCs w:val="28"/>
        </w:rPr>
      </w:pPr>
      <w:r w:rsidRPr="0076433E">
        <w:rPr>
          <w:rFonts w:hint="eastAsia"/>
          <w:sz w:val="28"/>
          <w:szCs w:val="28"/>
        </w:rPr>
        <w:t>（</w:t>
      </w:r>
      <w:r w:rsidRPr="0076433E">
        <w:rPr>
          <w:rFonts w:hint="eastAsia"/>
          <w:i/>
          <w:sz w:val="28"/>
          <w:szCs w:val="28"/>
        </w:rPr>
        <w:t>描述：数据安全监管中发现</w:t>
      </w:r>
      <w:r w:rsidR="008659F0">
        <w:rPr>
          <w:rFonts w:hint="eastAsia"/>
          <w:i/>
          <w:sz w:val="28"/>
          <w:szCs w:val="28"/>
        </w:rPr>
        <w:t>的</w:t>
      </w:r>
      <w:r w:rsidRPr="0076433E">
        <w:rPr>
          <w:rFonts w:hint="eastAsia"/>
          <w:i/>
          <w:sz w:val="28"/>
          <w:szCs w:val="28"/>
        </w:rPr>
        <w:t>问题与机构</w:t>
      </w:r>
      <w:r w:rsidRPr="0076433E">
        <w:rPr>
          <w:rFonts w:hint="eastAsia"/>
          <w:i/>
          <w:sz w:val="28"/>
          <w:szCs w:val="28"/>
        </w:rPr>
        <w:t>/EC</w:t>
      </w:r>
      <w:r w:rsidRPr="0076433E">
        <w:rPr>
          <w:rFonts w:hint="eastAsia"/>
          <w:i/>
          <w:sz w:val="28"/>
          <w:szCs w:val="28"/>
        </w:rPr>
        <w:t>的沟通、上报流程</w:t>
      </w:r>
      <w:r>
        <w:rPr>
          <w:rFonts w:hint="eastAsia"/>
          <w:i/>
          <w:sz w:val="28"/>
          <w:szCs w:val="28"/>
        </w:rPr>
        <w:t>等</w:t>
      </w:r>
      <w:r w:rsidRPr="0076433E">
        <w:rPr>
          <w:rFonts w:hint="eastAsia"/>
          <w:i/>
          <w:sz w:val="28"/>
          <w:szCs w:val="28"/>
        </w:rPr>
        <w:t>）</w:t>
      </w:r>
    </w:p>
    <w:p w:rsidR="0076433E" w:rsidRDefault="00840A56" w:rsidP="0076433E">
      <w:pPr>
        <w:rPr>
          <w:sz w:val="28"/>
          <w:szCs w:val="28"/>
        </w:rPr>
      </w:pPr>
      <w:r>
        <w:rPr>
          <w:rFonts w:hint="eastAsia"/>
          <w:sz w:val="28"/>
          <w:szCs w:val="28"/>
        </w:rPr>
        <w:t>如重要不良事件</w:t>
      </w:r>
      <w:r w:rsidR="0000242F">
        <w:rPr>
          <w:rFonts w:hint="eastAsia"/>
          <w:sz w:val="28"/>
          <w:szCs w:val="28"/>
        </w:rPr>
        <w:t>，如</w:t>
      </w:r>
      <w:r w:rsidR="0000242F">
        <w:rPr>
          <w:rFonts w:hint="eastAsia"/>
          <w:sz w:val="28"/>
          <w:szCs w:val="28"/>
        </w:rPr>
        <w:t>2</w:t>
      </w:r>
      <w:r w:rsidR="0000242F">
        <w:rPr>
          <w:rFonts w:hint="eastAsia"/>
          <w:sz w:val="28"/>
          <w:szCs w:val="28"/>
        </w:rPr>
        <w:t>例以上出现</w:t>
      </w:r>
      <w:r w:rsidR="0000242F">
        <w:rPr>
          <w:rFonts w:hint="eastAsia"/>
          <w:sz w:val="28"/>
          <w:szCs w:val="28"/>
        </w:rPr>
        <w:t>3</w:t>
      </w:r>
      <w:r w:rsidR="0000242F">
        <w:rPr>
          <w:rFonts w:hint="eastAsia"/>
          <w:sz w:val="28"/>
          <w:szCs w:val="28"/>
        </w:rPr>
        <w:t>级以上同类不良事件</w:t>
      </w:r>
      <w:r w:rsidR="00851A6E">
        <w:rPr>
          <w:rFonts w:hint="eastAsia"/>
          <w:sz w:val="28"/>
          <w:szCs w:val="28"/>
        </w:rPr>
        <w:t>，等。</w:t>
      </w:r>
    </w:p>
    <w:p w:rsidR="0076433E" w:rsidRDefault="008235EA">
      <w:pPr>
        <w:rPr>
          <w:sz w:val="28"/>
          <w:szCs w:val="28"/>
        </w:rPr>
      </w:pPr>
      <w:r>
        <w:rPr>
          <w:rFonts w:hint="eastAsia"/>
          <w:sz w:val="28"/>
          <w:szCs w:val="28"/>
        </w:rPr>
        <w:t xml:space="preserve">8 </w:t>
      </w:r>
      <w:r>
        <w:rPr>
          <w:rFonts w:hint="eastAsia"/>
          <w:sz w:val="28"/>
          <w:szCs w:val="28"/>
        </w:rPr>
        <w:t>其他：</w:t>
      </w:r>
    </w:p>
    <w:p w:rsidR="00140E0A" w:rsidRDefault="00140E0A">
      <w:pPr>
        <w:rPr>
          <w:sz w:val="28"/>
          <w:szCs w:val="28"/>
        </w:rPr>
      </w:pPr>
    </w:p>
    <w:p w:rsidR="00140E0A" w:rsidRDefault="00140E0A">
      <w:pPr>
        <w:rPr>
          <w:sz w:val="28"/>
          <w:szCs w:val="28"/>
        </w:rPr>
      </w:pPr>
    </w:p>
    <w:p w:rsidR="00140E0A" w:rsidRDefault="00140E0A">
      <w:pPr>
        <w:rPr>
          <w:sz w:val="28"/>
          <w:szCs w:val="28"/>
        </w:rPr>
      </w:pPr>
    </w:p>
    <w:p w:rsidR="00140E0A" w:rsidRDefault="00140E0A">
      <w:pPr>
        <w:rPr>
          <w:sz w:val="28"/>
          <w:szCs w:val="28"/>
        </w:rPr>
      </w:pPr>
    </w:p>
    <w:p w:rsidR="00140E0A" w:rsidRPr="00420FB5" w:rsidRDefault="00140E0A">
      <w:pPr>
        <w:rPr>
          <w:szCs w:val="21"/>
        </w:rPr>
      </w:pPr>
      <w:r w:rsidRPr="00140E0A">
        <w:rPr>
          <w:rFonts w:hint="eastAsia"/>
          <w:szCs w:val="21"/>
        </w:rPr>
        <w:t>注：</w:t>
      </w:r>
      <w:r w:rsidR="00BD6A19">
        <w:rPr>
          <w:szCs w:val="21"/>
        </w:rPr>
        <w:t>1.</w:t>
      </w:r>
      <w:r w:rsidR="00BD6A19">
        <w:rPr>
          <w:rFonts w:hint="eastAsia"/>
          <w:szCs w:val="21"/>
        </w:rPr>
        <w:t>该计划适用于大于最小风险的项目；</w:t>
      </w:r>
    </w:p>
    <w:p w:rsidR="00E27AE1" w:rsidRDefault="00BD6A19">
      <w:pPr>
        <w:spacing w:line="276" w:lineRule="auto"/>
        <w:ind w:firstLine="435"/>
        <w:rPr>
          <w:szCs w:val="21"/>
        </w:rPr>
      </w:pPr>
      <w:r>
        <w:rPr>
          <w:szCs w:val="21"/>
        </w:rPr>
        <w:t>2.</w:t>
      </w:r>
      <w:r>
        <w:rPr>
          <w:rFonts w:hint="eastAsia"/>
          <w:szCs w:val="21"/>
        </w:rPr>
        <w:t>此为建议模板，包含数据安全监管计划的基本要素，各项目可在此模板基础上制定监察计划。“四”和“五”可以分开或合并描述。</w:t>
      </w:r>
    </w:p>
    <w:p w:rsidR="00E27AE1" w:rsidRDefault="00BD6A19">
      <w:pPr>
        <w:spacing w:line="276" w:lineRule="auto"/>
        <w:ind w:firstLineChars="200" w:firstLine="420"/>
        <w:rPr>
          <w:rFonts w:ascii="宋体" w:hAnsi="宋体"/>
          <w:szCs w:val="21"/>
        </w:rPr>
      </w:pPr>
      <w:r>
        <w:rPr>
          <w:szCs w:val="21"/>
        </w:rPr>
        <w:t>3</w:t>
      </w:r>
      <w:r>
        <w:rPr>
          <w:rFonts w:hint="eastAsia"/>
          <w:szCs w:val="21"/>
        </w:rPr>
        <w:t>、</w:t>
      </w:r>
      <w:r w:rsidR="00000246" w:rsidRPr="00000246">
        <w:rPr>
          <w:rFonts w:ascii="宋体" w:hAnsi="宋体" w:hint="eastAsia"/>
          <w:szCs w:val="21"/>
        </w:rPr>
        <w:t>试验风险的等级</w:t>
      </w:r>
    </w:p>
    <w:p w:rsidR="00E27AE1" w:rsidRDefault="00000246">
      <w:pPr>
        <w:spacing w:line="276" w:lineRule="auto"/>
        <w:ind w:firstLine="435"/>
        <w:rPr>
          <w:rFonts w:ascii="宋体" w:hAnsi="宋体"/>
          <w:szCs w:val="21"/>
        </w:rPr>
      </w:pPr>
      <w:r w:rsidRPr="00000246">
        <w:rPr>
          <w:rFonts w:ascii="宋体" w:hAnsi="宋体" w:hint="eastAsia"/>
          <w:szCs w:val="21"/>
        </w:rPr>
        <w:t>试验风险的等级分为最小风险、低风险、中等度风险、高风险。</w:t>
      </w:r>
    </w:p>
    <w:p w:rsidR="00E27AE1" w:rsidRDefault="00000246" w:rsidP="007A4458">
      <w:pPr>
        <w:spacing w:line="276" w:lineRule="auto"/>
        <w:ind w:firstLineChars="200" w:firstLine="420"/>
        <w:rPr>
          <w:szCs w:val="21"/>
        </w:rPr>
      </w:pPr>
      <w:r w:rsidRPr="00000246">
        <w:rPr>
          <w:rFonts w:hAnsi="宋体"/>
          <w:szCs w:val="21"/>
        </w:rPr>
        <w:t>3.1</w:t>
      </w:r>
      <w:r w:rsidRPr="00000246">
        <w:rPr>
          <w:rFonts w:hAnsi="宋体" w:hint="eastAsia"/>
          <w:szCs w:val="21"/>
        </w:rPr>
        <w:t>最小风险：试验预期伤害或不适的可能性和程度不大于日常生活或者进行常规体格</w:t>
      </w:r>
      <w:r w:rsidRPr="00000246">
        <w:rPr>
          <w:rFonts w:hAnsi="宋体" w:hint="eastAsia"/>
          <w:szCs w:val="21"/>
        </w:rPr>
        <w:lastRenderedPageBreak/>
        <w:t>检查和心理测试时所遇到的风险。如：</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不涉及危险性程序的非干预措施研究，抽血，营养评估，行为学调查等；</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不使用镇静剂的影像学检查；</w:t>
      </w:r>
    </w:p>
    <w:p w:rsidR="00E27AE1" w:rsidRDefault="00000246" w:rsidP="007A4458">
      <w:pPr>
        <w:numPr>
          <w:ilvl w:val="0"/>
          <w:numId w:val="8"/>
        </w:numPr>
        <w:spacing w:line="276" w:lineRule="auto"/>
        <w:ind w:leftChars="405" w:left="850" w:firstLine="630"/>
        <w:rPr>
          <w:szCs w:val="21"/>
          <w:lang w:val="en-GB"/>
        </w:rPr>
      </w:pPr>
      <w:r w:rsidRPr="00000246">
        <w:rPr>
          <w:rFonts w:hAnsi="宋体" w:hint="eastAsia"/>
          <w:szCs w:val="21"/>
        </w:rPr>
        <w:t>心电图，步态评估，调查</w:t>
      </w:r>
      <w:r w:rsidRPr="00000246">
        <w:rPr>
          <w:rFonts w:hint="eastAsia"/>
          <w:szCs w:val="21"/>
        </w:rPr>
        <w:t>∕</w:t>
      </w:r>
      <w:r w:rsidRPr="00000246">
        <w:rPr>
          <w:rFonts w:hAnsi="宋体" w:hint="eastAsia"/>
          <w:szCs w:val="21"/>
        </w:rPr>
        <w:t>问卷表等</w:t>
      </w:r>
      <w:r w:rsidRPr="00000246">
        <w:rPr>
          <w:rFonts w:hint="eastAsia"/>
          <w:szCs w:val="21"/>
          <w:lang w:val="en-GB"/>
        </w:rPr>
        <w:t>。</w:t>
      </w:r>
    </w:p>
    <w:p w:rsidR="00E27AE1" w:rsidRDefault="00000246" w:rsidP="007A4458">
      <w:pPr>
        <w:spacing w:line="276" w:lineRule="auto"/>
        <w:ind w:firstLineChars="200" w:firstLine="420"/>
        <w:rPr>
          <w:szCs w:val="21"/>
        </w:rPr>
      </w:pPr>
      <w:r w:rsidRPr="00000246">
        <w:rPr>
          <w:rFonts w:hint="eastAsia"/>
          <w:szCs w:val="21"/>
          <w:lang w:val="en-GB"/>
        </w:rPr>
        <w:t>最小</w:t>
      </w:r>
      <w:r w:rsidRPr="00000246">
        <w:rPr>
          <w:rFonts w:hAnsi="宋体" w:hint="eastAsia"/>
          <w:szCs w:val="21"/>
        </w:rPr>
        <w:t>风险</w:t>
      </w:r>
      <w:r w:rsidRPr="00000246">
        <w:rPr>
          <w:rFonts w:hint="eastAsia"/>
          <w:szCs w:val="21"/>
          <w:lang w:val="en-GB"/>
        </w:rPr>
        <w:t>等级的研究不需要进行数据和安全监察。当风险超过最小风险时</w:t>
      </w:r>
      <w:r w:rsidRPr="00000246">
        <w:rPr>
          <w:rFonts w:hAnsi="宋体" w:hint="eastAsia"/>
          <w:szCs w:val="21"/>
        </w:rPr>
        <w:t>，</w:t>
      </w:r>
      <w:r w:rsidRPr="00000246">
        <w:rPr>
          <w:rFonts w:hint="eastAsia"/>
          <w:szCs w:val="21"/>
          <w:lang w:val="en-GB"/>
        </w:rPr>
        <w:t>临床试验应制定数据和安全监察计划。</w:t>
      </w:r>
    </w:p>
    <w:p w:rsidR="00E27AE1" w:rsidRDefault="00000246" w:rsidP="007A4458">
      <w:pPr>
        <w:spacing w:line="276" w:lineRule="auto"/>
        <w:ind w:firstLineChars="200" w:firstLine="420"/>
        <w:rPr>
          <w:szCs w:val="21"/>
        </w:rPr>
      </w:pPr>
      <w:r w:rsidRPr="00000246">
        <w:rPr>
          <w:rFonts w:hAnsi="宋体"/>
          <w:szCs w:val="21"/>
        </w:rPr>
        <w:t>2.2</w:t>
      </w:r>
      <w:r w:rsidRPr="00000246">
        <w:rPr>
          <w:rFonts w:hAnsi="宋体" w:hint="eastAsia"/>
          <w:szCs w:val="21"/>
        </w:rPr>
        <w:t>低风险：试验风险稍大于最小风险；发生可逆性的、轻度不良事件（如活动引起的肌肉</w:t>
      </w:r>
      <w:r w:rsidRPr="00000246">
        <w:rPr>
          <w:rFonts w:hint="eastAsia"/>
          <w:szCs w:val="21"/>
        </w:rPr>
        <w:t>∕</w:t>
      </w:r>
      <w:r w:rsidRPr="00000246">
        <w:rPr>
          <w:rFonts w:hAnsi="宋体" w:hint="eastAsia"/>
          <w:szCs w:val="21"/>
        </w:rPr>
        <w:t>关节疼痛或扭伤）的可能性增加。如：</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低风险干预措施研究，其风险与临床实践中预期产生的风险相当，如内镜检查、口服糖耐量试验、皮肤或肌肉活检、鼻腔清洗、腰穿、骨髓活检、要求镇静的影像学检查等；</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非治疗性干预措施研究，如行为学研究、精神病学调查、营养性治疗等；</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涉及已知可能有安全性问题的制剂，但获准在本适应症和人群使用的治疗性试验。</w:t>
      </w:r>
    </w:p>
    <w:p w:rsidR="00E27AE1" w:rsidRDefault="00000246" w:rsidP="007A4458">
      <w:pPr>
        <w:spacing w:line="276" w:lineRule="auto"/>
        <w:ind w:firstLineChars="200" w:firstLine="420"/>
        <w:rPr>
          <w:szCs w:val="21"/>
        </w:rPr>
      </w:pPr>
      <w:r w:rsidRPr="00000246">
        <w:rPr>
          <w:szCs w:val="21"/>
        </w:rPr>
        <w:t xml:space="preserve">2.3 </w:t>
      </w:r>
      <w:r w:rsidRPr="00000246">
        <w:rPr>
          <w:rFonts w:hAnsi="宋体" w:hint="eastAsia"/>
          <w:szCs w:val="21"/>
        </w:rPr>
        <w:t>中等度风险：试验风险大于低风险，但概率不是非常高；发生可逆的、中度不良事件（如低血糖反应、支气管痉挛或感染）的可能性增加，但有充分的监督和保护措施使得其后果最小；严重伤害的可能性非常小到几乎没有。如：</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既往有明确的人体安全性数据，提示为适度的、可接受的治疗或干预相关风险的</w:t>
      </w:r>
      <w:r w:rsidRPr="00000246">
        <w:rPr>
          <w:rFonts w:ascii="宋体" w:hAnsi="宋体" w:hint="eastAsia"/>
          <w:szCs w:val="21"/>
        </w:rPr>
        <w:t>Ⅰ</w:t>
      </w:r>
      <w:r w:rsidRPr="00000246">
        <w:rPr>
          <w:rFonts w:hAnsi="宋体" w:hint="eastAsia"/>
          <w:szCs w:val="21"/>
        </w:rPr>
        <w:t>期或</w:t>
      </w:r>
      <w:r w:rsidRPr="00000246">
        <w:rPr>
          <w:rFonts w:ascii="宋体" w:hAnsi="宋体" w:hint="eastAsia"/>
          <w:szCs w:val="21"/>
        </w:rPr>
        <w:t>Ⅱ</w:t>
      </w:r>
      <w:r w:rsidRPr="00000246">
        <w:rPr>
          <w:rFonts w:hAnsi="宋体" w:hint="eastAsia"/>
          <w:szCs w:val="21"/>
        </w:rPr>
        <w:t>期临床试验，如静脉糖耐量试验，器官活检等；</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涉及弱势群体的低风险试验；</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有较小的不可逆改变可能性的、涉及健康志愿者的研究。</w:t>
      </w:r>
    </w:p>
    <w:p w:rsidR="00E27AE1" w:rsidRDefault="00000246" w:rsidP="007A4458">
      <w:pPr>
        <w:spacing w:line="276" w:lineRule="auto"/>
        <w:ind w:firstLineChars="200" w:firstLine="420"/>
        <w:rPr>
          <w:szCs w:val="21"/>
        </w:rPr>
      </w:pPr>
      <w:r w:rsidRPr="00000246">
        <w:rPr>
          <w:rFonts w:hAnsi="宋体"/>
          <w:szCs w:val="21"/>
        </w:rPr>
        <w:t>2.4</w:t>
      </w:r>
      <w:r w:rsidRPr="00000246">
        <w:rPr>
          <w:rFonts w:hAnsi="宋体" w:hint="eastAsia"/>
          <w:szCs w:val="21"/>
        </w:rPr>
        <w:t>高风险：试验风险大于中等度风险；发生严重而持续的、与实验相关不良事件的可能性增加；或者关于不良事件的性质或者可能性有很大的不确定性。如：</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涉及新的化学药品、药物或装置，在人体几乎没有或完全没有毒性数据的试验；</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有已知潜在风险的涉及干预或侵入性措施的试验；</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病人的基础疾病可能会产生与试验治疗有关的严重不良事件；</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涉及集成电路设备的植入；</w:t>
      </w:r>
    </w:p>
    <w:p w:rsidR="00E27AE1" w:rsidRDefault="00000246" w:rsidP="007A4458">
      <w:pPr>
        <w:numPr>
          <w:ilvl w:val="0"/>
          <w:numId w:val="8"/>
        </w:numPr>
        <w:spacing w:line="276" w:lineRule="auto"/>
        <w:ind w:leftChars="405" w:left="850" w:firstLine="630"/>
        <w:rPr>
          <w:szCs w:val="21"/>
        </w:rPr>
      </w:pPr>
      <w:r w:rsidRPr="00000246">
        <w:rPr>
          <w:rFonts w:hAnsi="宋体" w:hint="eastAsia"/>
          <w:szCs w:val="21"/>
        </w:rPr>
        <w:t>基因治疗；</w:t>
      </w:r>
    </w:p>
    <w:p w:rsidR="00E27AE1" w:rsidRDefault="00000246" w:rsidP="007A4458">
      <w:pPr>
        <w:numPr>
          <w:ilvl w:val="0"/>
          <w:numId w:val="8"/>
        </w:numPr>
        <w:spacing w:line="276" w:lineRule="auto"/>
        <w:ind w:leftChars="405" w:left="850" w:firstLine="630"/>
        <w:rPr>
          <w:szCs w:val="21"/>
        </w:rPr>
      </w:pPr>
      <w:r w:rsidRPr="00000246">
        <w:rPr>
          <w:rFonts w:ascii="宋体" w:hAnsi="宋体" w:hint="eastAsia"/>
          <w:szCs w:val="21"/>
        </w:rPr>
        <w:t>Ⅰ</w:t>
      </w:r>
      <w:r w:rsidRPr="00000246">
        <w:rPr>
          <w:rFonts w:hAnsi="宋体" w:hint="eastAsia"/>
          <w:szCs w:val="21"/>
        </w:rPr>
        <w:t>期临床试验，</w:t>
      </w:r>
      <w:r w:rsidRPr="00000246">
        <w:rPr>
          <w:rFonts w:ascii="宋体" w:hAnsi="宋体" w:hint="eastAsia"/>
          <w:szCs w:val="21"/>
        </w:rPr>
        <w:t>Ⅲ</w:t>
      </w:r>
      <w:r w:rsidRPr="00000246">
        <w:rPr>
          <w:rFonts w:hAnsi="宋体" w:hint="eastAsia"/>
          <w:szCs w:val="21"/>
        </w:rPr>
        <w:t>期多中心对照临床试验。</w:t>
      </w:r>
    </w:p>
    <w:p w:rsidR="00311B49" w:rsidRDefault="00311B49" w:rsidP="00311B49">
      <w:pPr>
        <w:spacing w:line="360" w:lineRule="auto"/>
        <w:ind w:firstLine="200"/>
        <w:rPr>
          <w:sz w:val="24"/>
        </w:rPr>
      </w:pPr>
    </w:p>
    <w:p w:rsidR="00E27AE1" w:rsidRDefault="00E27AE1">
      <w:pPr>
        <w:ind w:firstLine="435"/>
        <w:rPr>
          <w:szCs w:val="21"/>
        </w:rPr>
      </w:pPr>
    </w:p>
    <w:p w:rsidR="0072482B" w:rsidRDefault="0072482B">
      <w:pPr>
        <w:ind w:firstLine="435"/>
        <w:rPr>
          <w:szCs w:val="21"/>
        </w:rPr>
      </w:pPr>
    </w:p>
    <w:sectPr w:rsidR="0072482B" w:rsidSect="009608F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C1D" w:rsidRDefault="007C0C1D" w:rsidP="005B1731">
      <w:r>
        <w:separator/>
      </w:r>
    </w:p>
  </w:endnote>
  <w:endnote w:type="continuationSeparator" w:id="1">
    <w:p w:rsidR="007C0C1D" w:rsidRDefault="007C0C1D" w:rsidP="005B17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C1D" w:rsidRDefault="007C0C1D" w:rsidP="005B1731">
      <w:r>
        <w:separator/>
      </w:r>
    </w:p>
  </w:footnote>
  <w:footnote w:type="continuationSeparator" w:id="1">
    <w:p w:rsidR="007C0C1D" w:rsidRDefault="007C0C1D" w:rsidP="005B1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10" w:rsidRDefault="007C0C1D" w:rsidP="005C47CD">
    <w:pPr>
      <w:pStyle w:val="a3"/>
      <w:spacing w:beforeLines="30"/>
      <w:ind w:firstLineChars="650" w:firstLine="1170"/>
      <w:jc w:val="left"/>
      <w:rPr>
        <w:sz w:val="21"/>
        <w:szCs w:val="21"/>
      </w:rPr>
    </w:pPr>
    <w:r>
      <w:rPr>
        <w:noProof/>
      </w:rPr>
      <w:drawing>
        <wp:anchor distT="0" distB="0" distL="114300" distR="114300" simplePos="0" relativeHeight="251660288" behindDoc="1" locked="0" layoutInCell="1" allowOverlap="1">
          <wp:simplePos x="0" y="0"/>
          <wp:positionH relativeFrom="column">
            <wp:posOffset>-9525</wp:posOffset>
          </wp:positionH>
          <wp:positionV relativeFrom="paragraph">
            <wp:posOffset>19685</wp:posOffset>
          </wp:positionV>
          <wp:extent cx="301625" cy="362585"/>
          <wp:effectExtent l="19050" t="0" r="3175" b="0"/>
          <wp:wrapNone/>
          <wp:docPr id="1" name="图片 1" descr="佑安标志070227新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佑安标志070227新定"/>
                  <pic:cNvPicPr>
                    <a:picLocks noChangeAspect="1" noChangeArrowheads="1"/>
                  </pic:cNvPicPr>
                </pic:nvPicPr>
                <pic:blipFill>
                  <a:blip r:embed="rId1">
                    <a:lum bright="6000"/>
                  </a:blip>
                  <a:srcRect/>
                  <a:stretch>
                    <a:fillRect/>
                  </a:stretch>
                </pic:blipFill>
                <pic:spPr bwMode="auto">
                  <a:xfrm>
                    <a:off x="0" y="0"/>
                    <a:ext cx="301625" cy="362585"/>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317500</wp:posOffset>
          </wp:positionH>
          <wp:positionV relativeFrom="paragraph">
            <wp:posOffset>4445</wp:posOffset>
          </wp:positionV>
          <wp:extent cx="387985" cy="387985"/>
          <wp:effectExtent l="19050" t="0" r="0" b="0"/>
          <wp:wrapNone/>
          <wp:docPr id="2" name="图片 2" descr="AAHRPP seal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HRPP seal方"/>
                  <pic:cNvPicPr>
                    <a:picLocks noChangeAspect="1" noChangeArrowheads="1"/>
                  </pic:cNvPicPr>
                </pic:nvPicPr>
                <pic:blipFill>
                  <a:blip r:embed="rId2"/>
                  <a:srcRect/>
                  <a:stretch>
                    <a:fillRect/>
                  </a:stretch>
                </pic:blipFill>
                <pic:spPr bwMode="auto">
                  <a:xfrm>
                    <a:off x="0" y="0"/>
                    <a:ext cx="387985" cy="387985"/>
                  </a:xfrm>
                  <a:prstGeom prst="rect">
                    <a:avLst/>
                  </a:prstGeom>
                  <a:noFill/>
                </pic:spPr>
              </pic:pic>
            </a:graphicData>
          </a:graphic>
        </wp:anchor>
      </w:drawing>
    </w:r>
    <w:r w:rsidR="00E60810">
      <w:rPr>
        <w:rFonts w:hint="eastAsia"/>
        <w:sz w:val="21"/>
        <w:szCs w:val="21"/>
      </w:rPr>
      <w:t>首都医科大学附属北京佑安医院</w:t>
    </w:r>
    <w:r w:rsidR="00E60810">
      <w:rPr>
        <w:sz w:val="21"/>
        <w:szCs w:val="21"/>
      </w:rPr>
      <w:t xml:space="preserve"> </w:t>
    </w:r>
    <w:r w:rsidR="00E60810">
      <w:rPr>
        <w:rFonts w:hint="eastAsia"/>
        <w:sz w:val="21"/>
        <w:szCs w:val="21"/>
      </w:rPr>
      <w:t xml:space="preserve"> </w:t>
    </w:r>
    <w:r w:rsidR="00E60810">
      <w:rPr>
        <w:rFonts w:hint="eastAsia"/>
        <w:sz w:val="21"/>
        <w:szCs w:val="21"/>
      </w:rPr>
      <w:t>人体研究保护项目</w:t>
    </w:r>
  </w:p>
  <w:p w:rsidR="00E60810" w:rsidRDefault="00E60810" w:rsidP="00E60810">
    <w:pPr>
      <w:pStyle w:val="a3"/>
    </w:pPr>
    <w:r>
      <w:rPr>
        <w:rFonts w:ascii="Arial" w:hAnsi="Arial" w:cs="Arial" w:hint="eastAsia"/>
      </w:rPr>
      <w:t xml:space="preserve">             </w:t>
    </w:r>
    <w:r w:rsidRPr="00EA02AE">
      <w:rPr>
        <w:rFonts w:ascii="Arial" w:hAnsi="Arial" w:cs="Arial"/>
      </w:rPr>
      <w:t>Beijing You</w:t>
    </w:r>
    <w:r w:rsidR="005C47CD">
      <w:rPr>
        <w:rFonts w:ascii="Arial" w:hAnsi="Arial" w:cs="Arial" w:hint="eastAsia"/>
      </w:rPr>
      <w:t>A</w:t>
    </w:r>
    <w:r w:rsidRPr="00EA02AE">
      <w:rPr>
        <w:rFonts w:ascii="Arial" w:hAnsi="Arial" w:cs="Arial"/>
      </w:rPr>
      <w:t xml:space="preserve">n Hospital,Capital Medical University </w:t>
    </w:r>
    <w:r>
      <w:rPr>
        <w:rFonts w:ascii="Arial" w:hAnsi="Arial" w:cs="Arial" w:hint="eastAsia"/>
      </w:rPr>
      <w:t xml:space="preserve"> </w:t>
    </w:r>
    <w:r w:rsidRPr="00EA02AE">
      <w:rPr>
        <w:rFonts w:ascii="Arial" w:hAnsi="Arial" w:cs="Arial"/>
      </w:rPr>
      <w:t>Human Research Protection Program</w:t>
    </w:r>
    <w:r w:rsidRPr="00692905">
      <w:rPr>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7716"/>
    <w:multiLevelType w:val="hybridMultilevel"/>
    <w:tmpl w:val="8BD0104A"/>
    <w:lvl w:ilvl="0" w:tplc="DAB25CC0">
      <w:start w:val="1"/>
      <w:numFmt w:val="bullet"/>
      <w:lvlText w:val=""/>
      <w:lvlJc w:val="left"/>
      <w:pPr>
        <w:ind w:left="1980" w:hanging="420"/>
      </w:pPr>
      <w:rPr>
        <w:rFonts w:ascii="Wingdings" w:hAnsi="Wingdings" w:hint="default"/>
        <w:b w:val="0"/>
        <w:i w:val="0"/>
        <w:sz w:val="24"/>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1">
    <w:nsid w:val="1D033AE3"/>
    <w:multiLevelType w:val="hybridMultilevel"/>
    <w:tmpl w:val="55F6420E"/>
    <w:lvl w:ilvl="0" w:tplc="2A3CC11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F936EC"/>
    <w:multiLevelType w:val="hybridMultilevel"/>
    <w:tmpl w:val="E4B469E0"/>
    <w:lvl w:ilvl="0" w:tplc="B0F8A6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BC6C86"/>
    <w:multiLevelType w:val="hybridMultilevel"/>
    <w:tmpl w:val="9DEC0A20"/>
    <w:lvl w:ilvl="0" w:tplc="8E14332C">
      <w:start w:val="4"/>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3BF85475"/>
    <w:multiLevelType w:val="hybridMultilevel"/>
    <w:tmpl w:val="3990BCC8"/>
    <w:lvl w:ilvl="0" w:tplc="039CB6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90E31"/>
    <w:multiLevelType w:val="hybridMultilevel"/>
    <w:tmpl w:val="5A640ADE"/>
    <w:lvl w:ilvl="0" w:tplc="3A82F4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7C201D"/>
    <w:multiLevelType w:val="hybridMultilevel"/>
    <w:tmpl w:val="39C2333A"/>
    <w:lvl w:ilvl="0" w:tplc="FBCC4EE6">
      <w:start w:val="1"/>
      <w:numFmt w:val="japaneseCounting"/>
      <w:lvlText w:val="%1、"/>
      <w:lvlJc w:val="left"/>
      <w:pPr>
        <w:ind w:left="1473"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7C0A5353"/>
    <w:multiLevelType w:val="hybridMultilevel"/>
    <w:tmpl w:val="CA36330C"/>
    <w:lvl w:ilvl="0" w:tplc="17AA1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1"/>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731"/>
    <w:rsid w:val="00000246"/>
    <w:rsid w:val="0000242F"/>
    <w:rsid w:val="000042F3"/>
    <w:rsid w:val="00055657"/>
    <w:rsid w:val="0008282F"/>
    <w:rsid w:val="00086735"/>
    <w:rsid w:val="000A2082"/>
    <w:rsid w:val="00140E0A"/>
    <w:rsid w:val="00153B35"/>
    <w:rsid w:val="001903E1"/>
    <w:rsid w:val="00192D06"/>
    <w:rsid w:val="001A0A5E"/>
    <w:rsid w:val="001E0FA1"/>
    <w:rsid w:val="002D2D59"/>
    <w:rsid w:val="00311B49"/>
    <w:rsid w:val="00386398"/>
    <w:rsid w:val="00397C98"/>
    <w:rsid w:val="003B1CE1"/>
    <w:rsid w:val="00420FB5"/>
    <w:rsid w:val="004528B0"/>
    <w:rsid w:val="00562BD9"/>
    <w:rsid w:val="005B1731"/>
    <w:rsid w:val="005C47CD"/>
    <w:rsid w:val="006233ED"/>
    <w:rsid w:val="00640741"/>
    <w:rsid w:val="006D60B3"/>
    <w:rsid w:val="00712453"/>
    <w:rsid w:val="0072482B"/>
    <w:rsid w:val="0076433E"/>
    <w:rsid w:val="007A4458"/>
    <w:rsid w:val="007C0C1D"/>
    <w:rsid w:val="007D3733"/>
    <w:rsid w:val="007E67D9"/>
    <w:rsid w:val="00805529"/>
    <w:rsid w:val="008235EA"/>
    <w:rsid w:val="00840A56"/>
    <w:rsid w:val="00843E24"/>
    <w:rsid w:val="00851A6E"/>
    <w:rsid w:val="008659F0"/>
    <w:rsid w:val="008719A1"/>
    <w:rsid w:val="008B5CD5"/>
    <w:rsid w:val="009608F3"/>
    <w:rsid w:val="00AF04CA"/>
    <w:rsid w:val="00B46D67"/>
    <w:rsid w:val="00BD6A19"/>
    <w:rsid w:val="00CB4CF4"/>
    <w:rsid w:val="00CC6773"/>
    <w:rsid w:val="00D450D7"/>
    <w:rsid w:val="00D82747"/>
    <w:rsid w:val="00DC4605"/>
    <w:rsid w:val="00DE6D7B"/>
    <w:rsid w:val="00E0054D"/>
    <w:rsid w:val="00E00966"/>
    <w:rsid w:val="00E27AE1"/>
    <w:rsid w:val="00E60810"/>
    <w:rsid w:val="00E73335"/>
    <w:rsid w:val="00FA5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8F3"/>
    <w:pPr>
      <w:widowControl w:val="0"/>
      <w:jc w:val="both"/>
    </w:pPr>
  </w:style>
  <w:style w:type="paragraph" w:styleId="1">
    <w:name w:val="heading 1"/>
    <w:basedOn w:val="a"/>
    <w:next w:val="a"/>
    <w:link w:val="1Char"/>
    <w:qFormat/>
    <w:rsid w:val="00E60810"/>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B1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1731"/>
    <w:rPr>
      <w:sz w:val="18"/>
      <w:szCs w:val="18"/>
    </w:rPr>
  </w:style>
  <w:style w:type="paragraph" w:styleId="a4">
    <w:name w:val="footer"/>
    <w:basedOn w:val="a"/>
    <w:link w:val="Char0"/>
    <w:uiPriority w:val="99"/>
    <w:semiHidden/>
    <w:unhideWhenUsed/>
    <w:rsid w:val="005B17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1731"/>
    <w:rPr>
      <w:sz w:val="18"/>
      <w:szCs w:val="18"/>
    </w:rPr>
  </w:style>
  <w:style w:type="paragraph" w:styleId="a5">
    <w:name w:val="List Paragraph"/>
    <w:basedOn w:val="a"/>
    <w:uiPriority w:val="34"/>
    <w:qFormat/>
    <w:rsid w:val="001A0A5E"/>
    <w:pPr>
      <w:ind w:firstLineChars="200" w:firstLine="420"/>
    </w:pPr>
  </w:style>
  <w:style w:type="paragraph" w:styleId="a6">
    <w:name w:val="Document Map"/>
    <w:basedOn w:val="a"/>
    <w:link w:val="Char1"/>
    <w:uiPriority w:val="99"/>
    <w:semiHidden/>
    <w:unhideWhenUsed/>
    <w:rsid w:val="00712453"/>
    <w:rPr>
      <w:rFonts w:ascii="宋体" w:eastAsia="宋体"/>
      <w:sz w:val="18"/>
      <w:szCs w:val="18"/>
    </w:rPr>
  </w:style>
  <w:style w:type="character" w:customStyle="1" w:styleId="Char1">
    <w:name w:val="文档结构图 Char"/>
    <w:basedOn w:val="a0"/>
    <w:link w:val="a6"/>
    <w:uiPriority w:val="99"/>
    <w:semiHidden/>
    <w:rsid w:val="00712453"/>
    <w:rPr>
      <w:rFonts w:ascii="宋体" w:eastAsia="宋体"/>
      <w:sz w:val="18"/>
      <w:szCs w:val="18"/>
    </w:rPr>
  </w:style>
  <w:style w:type="paragraph" w:styleId="a7">
    <w:name w:val="Balloon Text"/>
    <w:basedOn w:val="a"/>
    <w:link w:val="Char2"/>
    <w:uiPriority w:val="99"/>
    <w:semiHidden/>
    <w:unhideWhenUsed/>
    <w:rsid w:val="00192D06"/>
    <w:rPr>
      <w:sz w:val="18"/>
      <w:szCs w:val="18"/>
    </w:rPr>
  </w:style>
  <w:style w:type="character" w:customStyle="1" w:styleId="Char2">
    <w:name w:val="批注框文本 Char"/>
    <w:basedOn w:val="a0"/>
    <w:link w:val="a7"/>
    <w:uiPriority w:val="99"/>
    <w:semiHidden/>
    <w:rsid w:val="00192D06"/>
    <w:rPr>
      <w:sz w:val="18"/>
      <w:szCs w:val="18"/>
    </w:rPr>
  </w:style>
  <w:style w:type="character" w:customStyle="1" w:styleId="1Char">
    <w:name w:val="标题 1 Char"/>
    <w:basedOn w:val="a0"/>
    <w:link w:val="1"/>
    <w:rsid w:val="00E60810"/>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6515-C03D-4CAE-BFB1-9E5588C8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217</Words>
  <Characters>1239</Characters>
  <Application>Microsoft Office Word</Application>
  <DocSecurity>0</DocSecurity>
  <Lines>10</Lines>
  <Paragraphs>2</Paragraphs>
  <ScaleCrop>false</ScaleCrop>
  <Company>Hewlett-Packard Company</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wmx</dc:creator>
  <cp:keywords/>
  <dc:description/>
  <cp:lastModifiedBy>微软用户</cp:lastModifiedBy>
  <cp:revision>38</cp:revision>
  <dcterms:created xsi:type="dcterms:W3CDTF">2014-08-14T06:51:00Z</dcterms:created>
  <dcterms:modified xsi:type="dcterms:W3CDTF">2014-11-21T06:29:00Z</dcterms:modified>
</cp:coreProperties>
</file>