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54" w:rsidRPr="006C25DA" w:rsidRDefault="00255A54" w:rsidP="00255A54">
      <w:pPr>
        <w:widowControl/>
        <w:spacing w:line="480" w:lineRule="auto"/>
        <w:jc w:val="center"/>
        <w:rPr>
          <w:rFonts w:ascii="华文行楷" w:eastAsia="华文行楷" w:hAnsi="??" w:cs="宋体"/>
          <w:b/>
          <w:color w:val="FF0000"/>
          <w:kern w:val="0"/>
          <w:sz w:val="52"/>
          <w:szCs w:val="52"/>
        </w:rPr>
      </w:pPr>
      <w:r w:rsidRPr="006C25DA">
        <w:rPr>
          <w:rFonts w:ascii="华文行楷" w:eastAsia="华文行楷" w:hAnsi="??" w:cs="宋体" w:hint="eastAsia"/>
          <w:b/>
          <w:color w:val="FF0000"/>
          <w:kern w:val="0"/>
          <w:sz w:val="52"/>
          <w:szCs w:val="52"/>
        </w:rPr>
        <w:t>药</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学</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快</w:t>
      </w:r>
      <w:r w:rsidRPr="006C25DA">
        <w:rPr>
          <w:rFonts w:ascii="华文行楷" w:eastAsia="华文行楷" w:hAnsi="??" w:cs="宋体"/>
          <w:b/>
          <w:color w:val="FF0000"/>
          <w:kern w:val="0"/>
          <w:sz w:val="52"/>
          <w:szCs w:val="52"/>
        </w:rPr>
        <w:t xml:space="preserve"> </w:t>
      </w:r>
      <w:r w:rsidRPr="006C25DA">
        <w:rPr>
          <w:rFonts w:ascii="华文行楷" w:eastAsia="华文行楷" w:hAnsi="??" w:cs="宋体" w:hint="eastAsia"/>
          <w:b/>
          <w:color w:val="FF0000"/>
          <w:kern w:val="0"/>
          <w:sz w:val="52"/>
          <w:szCs w:val="52"/>
        </w:rPr>
        <w:t>讯</w:t>
      </w:r>
    </w:p>
    <w:p w:rsidR="00255A54" w:rsidRDefault="00255A54" w:rsidP="00255A54">
      <w:pPr>
        <w:widowControl/>
        <w:spacing w:line="480" w:lineRule="auto"/>
        <w:jc w:val="center"/>
        <w:rPr>
          <w:rFonts w:ascii="华文行楷" w:eastAsia="华文行楷" w:hAnsi="??" w:cs="宋体"/>
          <w:color w:val="FF0000"/>
          <w:kern w:val="0"/>
          <w:szCs w:val="21"/>
        </w:rPr>
      </w:pPr>
      <w:r w:rsidRPr="006C25DA">
        <w:rPr>
          <w:rFonts w:ascii="华文行楷" w:eastAsia="华文行楷" w:hAnsi="??" w:cs="宋体"/>
          <w:color w:val="FF0000"/>
          <w:kern w:val="0"/>
          <w:szCs w:val="21"/>
        </w:rPr>
        <w:t>201</w:t>
      </w:r>
      <w:r w:rsidR="00011FBC">
        <w:rPr>
          <w:rFonts w:ascii="华文行楷" w:eastAsia="华文行楷" w:hAnsi="??" w:cs="宋体" w:hint="eastAsia"/>
          <w:color w:val="FF0000"/>
          <w:kern w:val="0"/>
          <w:szCs w:val="21"/>
        </w:rPr>
        <w:t>6</w:t>
      </w:r>
      <w:r w:rsidRPr="006C25DA">
        <w:rPr>
          <w:rFonts w:ascii="华文行楷" w:eastAsia="华文行楷" w:hAnsi="??" w:cs="宋体" w:hint="eastAsia"/>
          <w:color w:val="FF0000"/>
          <w:kern w:val="0"/>
          <w:szCs w:val="21"/>
        </w:rPr>
        <w:t>年第</w:t>
      </w:r>
      <w:r w:rsidR="00D55EBB">
        <w:rPr>
          <w:rFonts w:ascii="华文行楷" w:eastAsia="华文行楷" w:hAnsi="??" w:cs="宋体" w:hint="eastAsia"/>
          <w:color w:val="FF0000"/>
          <w:kern w:val="0"/>
          <w:szCs w:val="21"/>
        </w:rPr>
        <w:t>2</w:t>
      </w:r>
      <w:r w:rsidRPr="006C25DA">
        <w:rPr>
          <w:rFonts w:ascii="华文行楷" w:eastAsia="华文行楷" w:hAnsi="??" w:cs="宋体" w:hint="eastAsia"/>
          <w:color w:val="FF0000"/>
          <w:kern w:val="0"/>
          <w:szCs w:val="21"/>
        </w:rPr>
        <w:t>期</w:t>
      </w:r>
    </w:p>
    <w:p w:rsidR="00A05D91" w:rsidRPr="00A05D91" w:rsidRDefault="007F5CA1" w:rsidP="00A05D91">
      <w:pPr>
        <w:rPr>
          <w:sz w:val="18"/>
          <w:szCs w:val="18"/>
        </w:rPr>
      </w:pPr>
      <w:r w:rsidRPr="003D7BFA">
        <w:rPr>
          <w:rFonts w:ascii="Times New Roman" w:hAnsiTheme="minorEastAsia" w:cs="宋体" w:hint="eastAsia"/>
          <w:color w:val="000000" w:themeColor="text1"/>
          <w:kern w:val="0"/>
          <w:sz w:val="18"/>
          <w:szCs w:val="18"/>
        </w:rPr>
        <w:t>编者按：</w:t>
      </w:r>
      <w:r w:rsidR="00976DF3">
        <w:rPr>
          <w:rFonts w:ascii="ˎ̥" w:hAnsi="ˎ̥" w:cs="Arial" w:hint="eastAsia"/>
          <w:color w:val="000000"/>
          <w:sz w:val="18"/>
          <w:szCs w:val="18"/>
        </w:rPr>
        <w:t xml:space="preserve"> </w:t>
      </w:r>
      <w:r w:rsidR="00A05D91">
        <w:rPr>
          <w:rFonts w:ascii="ˎ̥" w:hAnsi="ˎ̥" w:cs="Arial" w:hint="eastAsia"/>
          <w:color w:val="000000"/>
          <w:sz w:val="18"/>
          <w:szCs w:val="18"/>
        </w:rPr>
        <w:t>我院的双磷酸盐制剂有唑来膦酸、帕米膦酸二钠，可用于骨质疏松以及</w:t>
      </w:r>
      <w:r w:rsidR="00D96337">
        <w:rPr>
          <w:rFonts w:ascii="ˎ̥" w:hAnsi="ˎ̥" w:cs="Arial" w:hint="eastAsia"/>
          <w:color w:val="000000"/>
          <w:sz w:val="18"/>
          <w:szCs w:val="18"/>
        </w:rPr>
        <w:t>转移性</w:t>
      </w:r>
      <w:r w:rsidR="00A05D91">
        <w:rPr>
          <w:rFonts w:ascii="ˎ̥" w:hAnsi="ˎ̥" w:cs="Arial" w:hint="eastAsia"/>
          <w:color w:val="000000"/>
          <w:sz w:val="18"/>
          <w:szCs w:val="18"/>
        </w:rPr>
        <w:t>骨</w:t>
      </w:r>
      <w:r w:rsidR="00D96337">
        <w:rPr>
          <w:rFonts w:ascii="ˎ̥" w:hAnsi="ˎ̥" w:cs="Arial" w:hint="eastAsia"/>
          <w:color w:val="000000"/>
          <w:sz w:val="18"/>
          <w:szCs w:val="18"/>
        </w:rPr>
        <w:t>癌</w:t>
      </w:r>
      <w:r w:rsidR="00A05D91">
        <w:rPr>
          <w:rFonts w:ascii="ˎ̥" w:hAnsi="ˎ̥" w:cs="Arial" w:hint="eastAsia"/>
          <w:color w:val="000000"/>
          <w:sz w:val="18"/>
          <w:szCs w:val="18"/>
        </w:rPr>
        <w:t>的治疗，</w:t>
      </w:r>
      <w:r w:rsidR="00062AC2">
        <w:rPr>
          <w:rFonts w:ascii="ˎ̥" w:hAnsi="ˎ̥" w:cs="Arial" w:hint="eastAsia"/>
          <w:color w:val="000000"/>
          <w:sz w:val="18"/>
          <w:szCs w:val="18"/>
        </w:rPr>
        <w:t>最近</w:t>
      </w:r>
      <w:r w:rsidR="00A05D91" w:rsidRPr="00A05D91">
        <w:rPr>
          <w:rFonts w:ascii="ˎ̥" w:hAnsi="ˎ̥" w:cs="Arial"/>
          <w:color w:val="000000"/>
          <w:sz w:val="18"/>
          <w:szCs w:val="18"/>
        </w:rPr>
        <w:t>英国药品和健康产品管理局</w:t>
      </w:r>
      <w:r w:rsidR="00A05D91">
        <w:rPr>
          <w:rFonts w:ascii="ˎ̥" w:hAnsi="ˎ̥" w:cs="Arial" w:hint="eastAsia"/>
          <w:color w:val="000000"/>
          <w:sz w:val="18"/>
          <w:szCs w:val="18"/>
        </w:rPr>
        <w:t>发布消息称，长期用双磷酸盐治疗可能出现外耳道坏死。</w:t>
      </w:r>
      <w:r w:rsidR="00A05D91" w:rsidRPr="00A05D91">
        <w:rPr>
          <w:rFonts w:ascii="ˎ̥" w:hAnsi="ˎ̥" w:cs="Arial"/>
          <w:color w:val="000000"/>
          <w:sz w:val="18"/>
          <w:szCs w:val="18"/>
        </w:rPr>
        <w:t>2014</w:t>
      </w:r>
      <w:r w:rsidR="00A05D91" w:rsidRPr="00A05D91">
        <w:rPr>
          <w:rFonts w:ascii="ˎ̥" w:hAnsi="ˎ̥" w:cs="Arial"/>
          <w:color w:val="000000"/>
          <w:sz w:val="18"/>
          <w:szCs w:val="18"/>
        </w:rPr>
        <w:t>年</w:t>
      </w:r>
      <w:r w:rsidR="00A05D91" w:rsidRPr="00A05D91">
        <w:rPr>
          <w:rFonts w:ascii="ˎ̥" w:hAnsi="ˎ̥" w:cs="Arial"/>
          <w:color w:val="000000"/>
          <w:sz w:val="18"/>
          <w:szCs w:val="18"/>
        </w:rPr>
        <w:t>11</w:t>
      </w:r>
      <w:r w:rsidR="00A05D91" w:rsidRPr="00A05D91">
        <w:rPr>
          <w:rFonts w:ascii="ˎ̥" w:hAnsi="ˎ̥" w:cs="Arial"/>
          <w:color w:val="000000"/>
          <w:sz w:val="18"/>
          <w:szCs w:val="18"/>
        </w:rPr>
        <w:t>月</w:t>
      </w:r>
      <w:r w:rsidR="00A05D91" w:rsidRPr="00A05D91">
        <w:rPr>
          <w:rFonts w:ascii="ˎ̥" w:hAnsi="ˎ̥" w:cs="Arial"/>
          <w:color w:val="000000"/>
          <w:sz w:val="18"/>
          <w:szCs w:val="18"/>
        </w:rPr>
        <w:t>16</w:t>
      </w:r>
      <w:r w:rsidR="00A05D91" w:rsidRPr="00A05D91">
        <w:rPr>
          <w:rFonts w:ascii="ˎ̥" w:hAnsi="ˎ̥" w:cs="Arial"/>
          <w:color w:val="000000"/>
          <w:sz w:val="18"/>
          <w:szCs w:val="18"/>
        </w:rPr>
        <w:t>日</w:t>
      </w:r>
      <w:r w:rsidR="00976DF3" w:rsidRPr="00A05D91">
        <w:rPr>
          <w:rFonts w:ascii="ˎ̥" w:hAnsi="ˎ̥" w:cs="Arial" w:hint="eastAsia"/>
          <w:color w:val="000000"/>
          <w:sz w:val="18"/>
          <w:szCs w:val="18"/>
        </w:rPr>
        <w:t xml:space="preserve"> </w:t>
      </w:r>
      <w:r w:rsidR="00A05D91">
        <w:rPr>
          <w:rFonts w:ascii="ˎ̥" w:hAnsi="ˎ̥" w:cs="Arial" w:hint="eastAsia"/>
          <w:color w:val="000000"/>
          <w:sz w:val="18"/>
          <w:szCs w:val="18"/>
        </w:rPr>
        <w:t>，</w:t>
      </w:r>
      <w:r w:rsidR="00A05D91" w:rsidRPr="00A05D91">
        <w:rPr>
          <w:rFonts w:ascii="ˎ̥" w:hAnsi="ˎ̥" w:cs="Arial" w:hint="eastAsia"/>
          <w:color w:val="000000"/>
          <w:sz w:val="18"/>
          <w:szCs w:val="18"/>
        </w:rPr>
        <w:t>FDA</w:t>
      </w:r>
      <w:r w:rsidR="00A05D91" w:rsidRPr="00A05D91">
        <w:rPr>
          <w:rFonts w:ascii="ˎ̥" w:hAnsi="ˎ̥" w:cs="Arial"/>
          <w:color w:val="000000"/>
          <w:sz w:val="18"/>
          <w:szCs w:val="18"/>
        </w:rPr>
        <w:t>提示初步试验数据显示长期抗血小板治疗的患者非心血管死亡风险升高</w:t>
      </w:r>
      <w:r w:rsidR="00A05D91">
        <w:rPr>
          <w:rFonts w:ascii="ˎ̥" w:hAnsi="ˎ̥" w:cs="Arial" w:hint="eastAsia"/>
          <w:color w:val="000000"/>
          <w:sz w:val="18"/>
          <w:szCs w:val="18"/>
        </w:rPr>
        <w:t xml:space="preserve"> </w:t>
      </w:r>
      <w:r w:rsidR="00A05D91">
        <w:rPr>
          <w:rFonts w:ascii="ˎ̥" w:hAnsi="ˎ̥" w:cs="Arial" w:hint="eastAsia"/>
          <w:color w:val="000000"/>
          <w:sz w:val="18"/>
          <w:szCs w:val="18"/>
        </w:rPr>
        <w:t>，</w:t>
      </w:r>
      <w:r w:rsidR="00A05D91" w:rsidRPr="00A05D91">
        <w:rPr>
          <w:rFonts w:ascii="ˎ̥" w:hAnsi="ˎ̥" w:cs="Arial"/>
          <w:color w:val="000000"/>
          <w:sz w:val="18"/>
          <w:szCs w:val="18"/>
        </w:rPr>
        <w:t>因此</w:t>
      </w:r>
      <w:r w:rsidR="00A05D91" w:rsidRPr="00A05D91">
        <w:rPr>
          <w:rFonts w:ascii="ˎ̥" w:hAnsi="ˎ̥" w:cs="Arial"/>
          <w:color w:val="000000"/>
          <w:sz w:val="18"/>
          <w:szCs w:val="18"/>
        </w:rPr>
        <w:t>FDA</w:t>
      </w:r>
      <w:r w:rsidR="00A05D91" w:rsidRPr="00A05D91">
        <w:rPr>
          <w:rFonts w:ascii="ˎ̥" w:hAnsi="ˎ̥" w:cs="Arial"/>
          <w:color w:val="000000"/>
          <w:sz w:val="18"/>
          <w:szCs w:val="18"/>
        </w:rPr>
        <w:t>针对长期抗血小板治疗开展了评估工作。</w:t>
      </w:r>
      <w:r w:rsidR="00A05D91">
        <w:rPr>
          <w:rFonts w:ascii="ˎ̥" w:hAnsi="ˎ̥" w:cs="Arial" w:hint="eastAsia"/>
          <w:color w:val="000000"/>
          <w:sz w:val="18"/>
          <w:szCs w:val="18"/>
        </w:rPr>
        <w:t>评估发现</w:t>
      </w:r>
      <w:r w:rsidR="00A05D91" w:rsidRPr="00A05D91">
        <w:rPr>
          <w:rFonts w:ascii="ˎ̥" w:hAnsi="ˎ̥" w:cs="Arial"/>
          <w:color w:val="000000"/>
          <w:sz w:val="18"/>
          <w:szCs w:val="18"/>
        </w:rPr>
        <w:t>长期使用血液稀释药物波立维（氯吡格雷）未升高或降低心脏病患者或具有心脏病风险患者的总体死亡风险。</w:t>
      </w:r>
    </w:p>
    <w:p w:rsidR="000B74A3" w:rsidRDefault="00976DF3" w:rsidP="001D7344">
      <w:pPr>
        <w:widowControl/>
        <w:spacing w:line="360" w:lineRule="exact"/>
        <w:rPr>
          <w:rFonts w:ascii="Times New Roman" w:hAnsiTheme="minorEastAsia" w:cs="宋体"/>
          <w:color w:val="000000" w:themeColor="text1"/>
          <w:kern w:val="0"/>
          <w:sz w:val="18"/>
          <w:szCs w:val="18"/>
        </w:rPr>
      </w:pPr>
      <w:r w:rsidRPr="00A05D91">
        <w:rPr>
          <w:rFonts w:ascii="ˎ̥" w:hAnsi="ˎ̥" w:cs="Arial" w:hint="eastAsia"/>
          <w:color w:val="000000"/>
          <w:sz w:val="18"/>
          <w:szCs w:val="18"/>
        </w:rPr>
        <w:t xml:space="preserve">                                                               </w:t>
      </w:r>
      <w:r>
        <w:rPr>
          <w:rFonts w:ascii="ˎ̥" w:hAnsi="ˎ̥" w:cs="Arial" w:hint="eastAsia"/>
          <w:color w:val="000000"/>
          <w:sz w:val="18"/>
          <w:szCs w:val="18"/>
        </w:rPr>
        <w:t xml:space="preserve">                                                                                                                                                                                                                                                                                                                                                                                                                                                                                                                                                                                                                                                                                                                                                                                                                                                                                                                                                                                                                                                                                                                                                                                                                                                                                                                                                                                                                                                                                                                                                                                                                                                                                                                                                                                                                                                                                                                                                                                                                                                                                                                                                                                                                                                                                                                                                                                                                                                                                                                                                                                                                                                                                                                                                                                                                                                                                                                                                                                                                                                                                                                                                                                                                                                                                                                                                                                                                                                                                                                                                                                                                                                                                                                                                                                                                                                                                                                                                                                                                                                                                                                                                                                                                                                                                                                                                                                                                                                                   </w:t>
      </w:r>
    </w:p>
    <w:p w:rsidR="00E51658" w:rsidRPr="003D1388" w:rsidRDefault="00E51658" w:rsidP="00E51658">
      <w:pPr>
        <w:widowControl/>
        <w:wordWrap w:val="0"/>
        <w:spacing w:before="100" w:beforeAutospacing="1" w:after="100" w:afterAutospacing="1" w:line="480" w:lineRule="auto"/>
        <w:jc w:val="center"/>
        <w:rPr>
          <w:rFonts w:ascii="Times New Roman" w:eastAsia="宋体" w:hAnsi="Times New Roman" w:cs="Times New Roman"/>
          <w:color w:val="000000"/>
          <w:kern w:val="0"/>
          <w:szCs w:val="21"/>
        </w:rPr>
      </w:pPr>
      <w:r w:rsidRPr="003D1388">
        <w:rPr>
          <w:rFonts w:ascii="Times New Roman" w:eastAsia="宋体" w:hAnsi="ˎ̥" w:cs="Times New Roman"/>
          <w:b/>
          <w:bCs/>
          <w:color w:val="000000"/>
          <w:kern w:val="0"/>
          <w:sz w:val="30"/>
        </w:rPr>
        <w:t>英国发布双膦酸盐导致外耳道骨坏死的极罕见报道</w:t>
      </w:r>
    </w:p>
    <w:p w:rsidR="0088792C" w:rsidRPr="003D1388" w:rsidRDefault="00E51658" w:rsidP="0088792C">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3D1388">
        <w:rPr>
          <w:rFonts w:ascii="Times New Roman" w:hAnsi="ˎ̥" w:cs="Times New Roman"/>
          <w:color w:val="000000"/>
          <w:sz w:val="21"/>
          <w:szCs w:val="21"/>
        </w:rPr>
        <w:t>英国药品和健康产品管理局（</w:t>
      </w:r>
      <w:r w:rsidRPr="003D1388">
        <w:rPr>
          <w:rFonts w:ascii="Times New Roman" w:hAnsi="Times New Roman" w:cs="Times New Roman"/>
          <w:color w:val="000000"/>
          <w:sz w:val="21"/>
          <w:szCs w:val="21"/>
        </w:rPr>
        <w:t>MHRA</w:t>
      </w:r>
      <w:r w:rsidRPr="003D1388">
        <w:rPr>
          <w:rFonts w:ascii="Times New Roman" w:hAnsi="ˎ̥" w:cs="Times New Roman"/>
          <w:color w:val="000000"/>
          <w:sz w:val="21"/>
          <w:szCs w:val="21"/>
        </w:rPr>
        <w:t>）发布信息称，使用双膦酸盐时有极为罕见的（少于</w:t>
      </w:r>
      <w:r w:rsidRPr="003D1388">
        <w:rPr>
          <w:rFonts w:ascii="Times New Roman" w:hAnsi="Times New Roman" w:cs="Times New Roman"/>
          <w:color w:val="000000"/>
          <w:sz w:val="21"/>
          <w:szCs w:val="21"/>
        </w:rPr>
        <w:t>1/10 000</w:t>
      </w:r>
      <w:r w:rsidRPr="003D1388">
        <w:rPr>
          <w:rFonts w:ascii="Times New Roman" w:hAnsi="ˎ̥" w:cs="Times New Roman"/>
          <w:color w:val="000000"/>
          <w:sz w:val="21"/>
          <w:szCs w:val="21"/>
        </w:rPr>
        <w:t>例患者）外耳道骨坏死报道，主要与</w:t>
      </w:r>
      <w:r w:rsidRPr="003D1388">
        <w:rPr>
          <w:rFonts w:ascii="Times New Roman" w:hAnsi="Times New Roman" w:cs="Times New Roman"/>
          <w:color w:val="000000"/>
          <w:sz w:val="21"/>
          <w:szCs w:val="21"/>
        </w:rPr>
        <w:t>2</w:t>
      </w:r>
      <w:r w:rsidRPr="003D1388">
        <w:rPr>
          <w:rFonts w:ascii="Times New Roman" w:hAnsi="ˎ̥" w:cs="Times New Roman"/>
          <w:color w:val="000000"/>
          <w:sz w:val="21"/>
          <w:szCs w:val="21"/>
        </w:rPr>
        <w:t>年或以上的长期治疗有关。</w:t>
      </w:r>
    </w:p>
    <w:p w:rsidR="0088792C" w:rsidRPr="003D1388" w:rsidRDefault="00E51658" w:rsidP="0088792C">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3D1388">
        <w:rPr>
          <w:rFonts w:ascii="Times New Roman" w:hAnsi="ˎ̥" w:cs="Times New Roman"/>
          <w:color w:val="000000"/>
          <w:sz w:val="21"/>
          <w:szCs w:val="21"/>
        </w:rPr>
        <w:t>双膦酸盐用于治疗骨质疏松、</w:t>
      </w:r>
      <w:r w:rsidRPr="003D1388">
        <w:rPr>
          <w:rFonts w:ascii="Times New Roman" w:hAnsi="Times New Roman" w:cs="Times New Roman"/>
          <w:color w:val="000000"/>
          <w:sz w:val="21"/>
          <w:szCs w:val="21"/>
        </w:rPr>
        <w:t>Paget</w:t>
      </w:r>
      <w:r w:rsidRPr="003D1388">
        <w:rPr>
          <w:rFonts w:ascii="Times New Roman" w:hAnsi="ˎ̥" w:cs="Times New Roman"/>
          <w:color w:val="000000"/>
          <w:sz w:val="21"/>
          <w:szCs w:val="21"/>
        </w:rPr>
        <w:t>病以及作为某些癌症方案的一部分治疗，特别是治疗转移性骨癌和多发性骨髓瘤。不同的双膦酸盐具有不同的适应症。已在英国上市的双膦酸盐有：阿仑膦酸、伊班膦酸、帕米膦酸二钠、利塞膦酸钠、氯曲膦酸钠和唑来膦酸。</w:t>
      </w:r>
    </w:p>
    <w:p w:rsidR="00E51658" w:rsidRPr="003D1388" w:rsidRDefault="00E51658" w:rsidP="00E51658">
      <w:pPr>
        <w:pStyle w:val="a5"/>
        <w:spacing w:before="0" w:beforeAutospacing="0" w:after="0" w:afterAutospacing="0" w:line="360" w:lineRule="exact"/>
        <w:ind w:firstLineChars="200" w:firstLine="420"/>
        <w:jc w:val="both"/>
        <w:rPr>
          <w:rFonts w:ascii="Times New Roman" w:hAnsi="Times New Roman" w:cs="Times New Roman"/>
          <w:color w:val="000000"/>
          <w:sz w:val="21"/>
          <w:szCs w:val="21"/>
        </w:rPr>
      </w:pPr>
      <w:r w:rsidRPr="003D1388">
        <w:rPr>
          <w:rFonts w:ascii="Times New Roman" w:hAnsi="ˎ̥" w:cs="Times New Roman"/>
          <w:color w:val="000000"/>
          <w:sz w:val="21"/>
          <w:szCs w:val="21"/>
        </w:rPr>
        <w:t>良性特发性外耳道骨坏死是一种罕见的疾病，可发生在未接受骨吸收抑制治疗时，有时与局部外伤有关。</w:t>
      </w:r>
    </w:p>
    <w:p w:rsidR="002967B1" w:rsidRPr="003D1388" w:rsidRDefault="00E51658" w:rsidP="00E51658">
      <w:pPr>
        <w:pStyle w:val="a5"/>
        <w:spacing w:before="0" w:beforeAutospacing="0" w:after="0" w:afterAutospacing="0" w:line="360" w:lineRule="exact"/>
        <w:ind w:firstLineChars="200" w:firstLine="420"/>
        <w:jc w:val="both"/>
        <w:rPr>
          <w:rStyle w:val="a3"/>
          <w:rFonts w:ascii="Times New Roman" w:hAnsi="Times New Roman" w:cs="Times New Roman"/>
          <w:color w:val="000000"/>
          <w:sz w:val="21"/>
          <w:szCs w:val="21"/>
        </w:rPr>
      </w:pPr>
      <w:r w:rsidRPr="003D1388">
        <w:rPr>
          <w:rFonts w:ascii="Times New Roman" w:hAnsi="ˎ̥" w:cs="Times New Roman"/>
          <w:color w:val="000000"/>
          <w:sz w:val="21"/>
          <w:szCs w:val="21"/>
        </w:rPr>
        <w:t>与双膦酸盐治疗相关的外耳道骨坏死的证据来自临床文献和报告至药品监管部门的病例，包括通过英国黄卡收到的一份病例证据。这些证据支持双膦酸盐与外耳道骨坏死之间存在因果关系。双膦酸盐产品信息在更新，以纳入给医护人员和患者的建议。</w:t>
      </w:r>
    </w:p>
    <w:p w:rsidR="00E51658" w:rsidRPr="003D1388" w:rsidRDefault="00E51658" w:rsidP="00E51658">
      <w:pPr>
        <w:pStyle w:val="a5"/>
        <w:spacing w:before="0" w:beforeAutospacing="0" w:after="0" w:afterAutospacing="0" w:line="360" w:lineRule="exact"/>
        <w:ind w:firstLineChars="200" w:firstLine="420"/>
        <w:jc w:val="both"/>
        <w:rPr>
          <w:rFonts w:ascii="Times New Roman" w:hAnsi="Times New Roman" w:cs="Times New Roman"/>
          <w:color w:val="000000"/>
          <w:sz w:val="21"/>
          <w:szCs w:val="21"/>
        </w:rPr>
      </w:pPr>
      <w:r w:rsidRPr="003D1388">
        <w:rPr>
          <w:rFonts w:ascii="Times New Roman" w:hAnsi="ˎ̥" w:cs="Times New Roman"/>
          <w:color w:val="000000"/>
          <w:sz w:val="21"/>
          <w:szCs w:val="21"/>
        </w:rPr>
        <w:t>在全球范围内共确定了</w:t>
      </w:r>
      <w:r w:rsidRPr="003D1388">
        <w:rPr>
          <w:rFonts w:ascii="Times New Roman" w:hAnsi="Times New Roman" w:cs="Times New Roman"/>
          <w:color w:val="000000"/>
          <w:sz w:val="21"/>
          <w:szCs w:val="21"/>
        </w:rPr>
        <w:t>29</w:t>
      </w:r>
      <w:r w:rsidRPr="003D1388">
        <w:rPr>
          <w:rFonts w:ascii="Times New Roman" w:hAnsi="ˎ̥" w:cs="Times New Roman"/>
          <w:color w:val="000000"/>
          <w:sz w:val="21"/>
          <w:szCs w:val="21"/>
        </w:rPr>
        <w:t>份提示外耳道骨坏死与双膦酸盐相关的报告，包括临床文献报道的</w:t>
      </w:r>
      <w:r w:rsidRPr="003D1388">
        <w:rPr>
          <w:rFonts w:ascii="Times New Roman" w:hAnsi="Times New Roman" w:cs="Times New Roman"/>
          <w:color w:val="000000"/>
          <w:sz w:val="21"/>
          <w:szCs w:val="21"/>
        </w:rPr>
        <w:t>11</w:t>
      </w:r>
      <w:r w:rsidRPr="003D1388">
        <w:rPr>
          <w:rFonts w:ascii="Times New Roman" w:hAnsi="ˎ̥" w:cs="Times New Roman"/>
          <w:color w:val="000000"/>
          <w:sz w:val="21"/>
          <w:szCs w:val="21"/>
        </w:rPr>
        <w:t>例病例。癌症相关性疾病或骨质疏松患者静脉注射或口服双膦酸盐均有病例报道，目前尚无充足的证据确定癌症相关性疾病中使用更大剂量的双膦酸盐是否会增加风险。大多数病例与</w:t>
      </w:r>
      <w:r w:rsidRPr="003D1388">
        <w:rPr>
          <w:rFonts w:ascii="Times New Roman" w:hAnsi="Times New Roman" w:cs="Times New Roman"/>
          <w:color w:val="000000"/>
          <w:sz w:val="21"/>
          <w:szCs w:val="21"/>
        </w:rPr>
        <w:t>2</w:t>
      </w:r>
      <w:r w:rsidRPr="003D1388">
        <w:rPr>
          <w:rFonts w:ascii="Times New Roman" w:hAnsi="ˎ̥" w:cs="Times New Roman"/>
          <w:color w:val="000000"/>
          <w:sz w:val="21"/>
          <w:szCs w:val="21"/>
        </w:rPr>
        <w:t>年或以上长期使用双膦酸盐有关。大多数病例存在可能的危险因素包括使用皮质类固醇激素、化疗，以及可能的局部危险因素如感染、耳部手术或使用棉签。与颌骨坏死相似，在有些患者中报告了双侧外耳道骨坏死。</w:t>
      </w:r>
    </w:p>
    <w:p w:rsidR="0088792C" w:rsidRPr="003D1388" w:rsidRDefault="00E51658" w:rsidP="00E51658">
      <w:pPr>
        <w:pStyle w:val="a5"/>
        <w:spacing w:before="0" w:beforeAutospacing="0" w:after="0" w:afterAutospacing="0" w:line="360" w:lineRule="exact"/>
        <w:ind w:firstLineChars="200" w:firstLine="422"/>
        <w:jc w:val="both"/>
        <w:rPr>
          <w:rFonts w:ascii="Times New Roman" w:hAnsi="Times New Roman" w:cs="Times New Roman"/>
          <w:color w:val="000000"/>
          <w:sz w:val="21"/>
          <w:szCs w:val="21"/>
        </w:rPr>
      </w:pPr>
      <w:r w:rsidRPr="003D1388">
        <w:rPr>
          <w:rStyle w:val="a3"/>
          <w:rFonts w:ascii="Times New Roman" w:hAnsi="ˎ̥" w:cs="Times New Roman"/>
          <w:color w:val="000000"/>
          <w:sz w:val="21"/>
          <w:szCs w:val="21"/>
        </w:rPr>
        <w:t>给医护人员的建议：</w:t>
      </w:r>
      <w:r w:rsidR="002967B1" w:rsidRPr="003D1388">
        <w:rPr>
          <w:rFonts w:ascii="Times New Roman" w:hAnsi="Times New Roman" w:cs="Times New Roman"/>
          <w:color w:val="000000"/>
          <w:sz w:val="18"/>
          <w:szCs w:val="18"/>
        </w:rPr>
        <w:br/>
      </w:r>
      <w:r w:rsidR="002967B1" w:rsidRPr="003D1388">
        <w:rPr>
          <w:rFonts w:ascii="Times New Roman" w:hAnsi="Times New Roman" w:cs="Times New Roman"/>
          <w:color w:val="000000"/>
          <w:sz w:val="21"/>
          <w:szCs w:val="21"/>
        </w:rPr>
        <w:t xml:space="preserve">　　</w:t>
      </w:r>
      <w:r w:rsidRPr="003D1388">
        <w:rPr>
          <w:rStyle w:val="a3"/>
          <w:rFonts w:ascii="Times New Roman" w:hAnsi="Times New Roman" w:cs="Times New Roman"/>
          <w:color w:val="000000"/>
          <w:sz w:val="21"/>
          <w:szCs w:val="21"/>
        </w:rPr>
        <w:t xml:space="preserve">· </w:t>
      </w:r>
      <w:r w:rsidRPr="003D1388">
        <w:rPr>
          <w:rFonts w:ascii="Times New Roman" w:hAnsi="ˎ̥" w:cs="Times New Roman"/>
          <w:color w:val="000000"/>
          <w:sz w:val="21"/>
          <w:szCs w:val="21"/>
        </w:rPr>
        <w:t>在接受双膦酸盐治疗且出现耳部症状包括慢性耳部感染的患者中，或在疑似胆脂瘤患者中应考虑外耳道骨坏死的可能。</w:t>
      </w:r>
      <w:r w:rsidRPr="003D1388">
        <w:rPr>
          <w:rFonts w:ascii="Times New Roman" w:hAnsi="Times New Roman" w:cs="Times New Roman"/>
          <w:color w:val="000000"/>
          <w:sz w:val="18"/>
          <w:szCs w:val="18"/>
        </w:rPr>
        <w:br/>
      </w:r>
      <w:r w:rsidRPr="003D1388">
        <w:rPr>
          <w:rFonts w:ascii="Times New Roman" w:hAnsi="ˎ̥" w:cs="Times New Roman"/>
          <w:color w:val="000000"/>
          <w:sz w:val="21"/>
          <w:szCs w:val="21"/>
        </w:rPr>
        <w:t xml:space="preserve">　　</w:t>
      </w:r>
      <w:r w:rsidRPr="003D1388">
        <w:rPr>
          <w:rStyle w:val="a3"/>
          <w:rFonts w:ascii="Times New Roman" w:hAnsi="Times New Roman" w:cs="Times New Roman"/>
          <w:color w:val="000000"/>
          <w:sz w:val="21"/>
          <w:szCs w:val="21"/>
        </w:rPr>
        <w:t xml:space="preserve">· </w:t>
      </w:r>
      <w:r w:rsidRPr="003D1388">
        <w:rPr>
          <w:rFonts w:ascii="Times New Roman" w:hAnsi="ˎ̥" w:cs="Times New Roman"/>
          <w:color w:val="000000"/>
          <w:sz w:val="21"/>
          <w:szCs w:val="21"/>
        </w:rPr>
        <w:t>危险因素包括使用皮质类固醇激素和化疗，伴有或不伴局部危险因素如感染或外伤。</w:t>
      </w:r>
      <w:r w:rsidRPr="003D1388">
        <w:rPr>
          <w:rFonts w:ascii="Times New Roman" w:hAnsi="Times New Roman" w:cs="Times New Roman"/>
          <w:color w:val="000000"/>
          <w:sz w:val="18"/>
          <w:szCs w:val="18"/>
        </w:rPr>
        <w:br/>
      </w:r>
      <w:r w:rsidRPr="003D1388">
        <w:rPr>
          <w:rFonts w:ascii="Times New Roman" w:hAnsi="ˎ̥" w:cs="Times New Roman"/>
          <w:color w:val="000000"/>
          <w:sz w:val="21"/>
          <w:szCs w:val="21"/>
        </w:rPr>
        <w:t xml:space="preserve">　　</w:t>
      </w:r>
      <w:r w:rsidRPr="003D1388">
        <w:rPr>
          <w:rStyle w:val="a3"/>
          <w:rFonts w:ascii="Times New Roman" w:hAnsi="Times New Roman" w:cs="Times New Roman"/>
          <w:color w:val="000000"/>
          <w:sz w:val="21"/>
          <w:szCs w:val="21"/>
        </w:rPr>
        <w:t xml:space="preserve">· </w:t>
      </w:r>
      <w:r w:rsidRPr="003D1388">
        <w:rPr>
          <w:rFonts w:ascii="Times New Roman" w:hAnsi="ˎ̥" w:cs="Times New Roman"/>
          <w:color w:val="000000"/>
          <w:sz w:val="21"/>
          <w:szCs w:val="21"/>
        </w:rPr>
        <w:t>建议患者在双膦酸盐治疗期间报告任何发生的耳部疼痛、耳部分泌物或耳部感染。</w:t>
      </w:r>
      <w:r w:rsidRPr="003D1388">
        <w:rPr>
          <w:rFonts w:ascii="Times New Roman" w:hAnsi="Times New Roman" w:cs="Times New Roman"/>
          <w:color w:val="000000"/>
          <w:sz w:val="18"/>
          <w:szCs w:val="18"/>
        </w:rPr>
        <w:br/>
      </w:r>
      <w:r w:rsidRPr="003D1388">
        <w:rPr>
          <w:rFonts w:ascii="Times New Roman" w:hAnsi="ˎ̥" w:cs="Times New Roman"/>
          <w:color w:val="000000"/>
          <w:sz w:val="21"/>
          <w:szCs w:val="21"/>
        </w:rPr>
        <w:t xml:space="preserve">　　</w:t>
      </w:r>
      <w:r w:rsidRPr="003D1388">
        <w:rPr>
          <w:rStyle w:val="a3"/>
          <w:rFonts w:ascii="Times New Roman" w:hAnsi="Times New Roman" w:cs="Times New Roman"/>
          <w:color w:val="000000"/>
          <w:sz w:val="21"/>
          <w:szCs w:val="21"/>
        </w:rPr>
        <w:t xml:space="preserve">· </w:t>
      </w:r>
      <w:r w:rsidRPr="003D1388">
        <w:rPr>
          <w:rFonts w:ascii="Times New Roman" w:hAnsi="ˎ̥" w:cs="Times New Roman"/>
          <w:color w:val="000000"/>
          <w:sz w:val="21"/>
          <w:szCs w:val="21"/>
        </w:rPr>
        <w:t>报告任何疑似与双膦酸盐或其他任何药物（包括地诺单抗）相关的外耳道骨坏死病例。</w:t>
      </w:r>
      <w:r w:rsidR="0088792C" w:rsidRPr="003D1388">
        <w:rPr>
          <w:rFonts w:ascii="Times New Roman" w:eastAsiaTheme="minorEastAsia" w:hAnsi="Times New Roman" w:cs="Times New Roman"/>
          <w:color w:val="000000"/>
          <w:sz w:val="21"/>
          <w:szCs w:val="21"/>
        </w:rPr>
        <w:t>（英国</w:t>
      </w:r>
      <w:r w:rsidR="0088792C" w:rsidRPr="003D1388">
        <w:rPr>
          <w:rFonts w:ascii="Times New Roman" w:eastAsiaTheme="minorEastAsia" w:hAnsi="Times New Roman" w:cs="Times New Roman"/>
          <w:color w:val="000000"/>
          <w:sz w:val="21"/>
          <w:szCs w:val="21"/>
        </w:rPr>
        <w:t>MHRA</w:t>
      </w:r>
      <w:r w:rsidR="0088792C" w:rsidRPr="003D1388">
        <w:rPr>
          <w:rFonts w:ascii="Times New Roman" w:eastAsiaTheme="minorEastAsia" w:hAnsi="Times New Roman" w:cs="Times New Roman"/>
          <w:color w:val="000000"/>
          <w:sz w:val="21"/>
          <w:szCs w:val="21"/>
        </w:rPr>
        <w:t>网站）</w:t>
      </w:r>
    </w:p>
    <w:p w:rsidR="0088792C" w:rsidRPr="003D1388" w:rsidRDefault="0088792C" w:rsidP="0088792C">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p>
    <w:p w:rsidR="00B61C3D" w:rsidRPr="003D1388" w:rsidRDefault="00B61C3D" w:rsidP="0088792C">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p>
    <w:p w:rsidR="006F3D67" w:rsidRPr="003D1388" w:rsidRDefault="006F3D67" w:rsidP="006F3D67">
      <w:pPr>
        <w:widowControl/>
        <w:wordWrap w:val="0"/>
        <w:spacing w:before="100" w:beforeAutospacing="1" w:after="100" w:afterAutospacing="1" w:line="480" w:lineRule="auto"/>
        <w:jc w:val="center"/>
        <w:rPr>
          <w:rFonts w:ascii="Times New Roman" w:eastAsia="宋体" w:hAnsi="Times New Roman" w:cs="Times New Roman"/>
          <w:color w:val="000000"/>
          <w:kern w:val="0"/>
          <w:szCs w:val="21"/>
        </w:rPr>
      </w:pPr>
      <w:r w:rsidRPr="003D1388">
        <w:rPr>
          <w:rFonts w:ascii="Times New Roman" w:eastAsia="宋体" w:hAnsi="ˎ̥" w:cs="Times New Roman"/>
          <w:b/>
          <w:bCs/>
          <w:color w:val="000000"/>
          <w:kern w:val="0"/>
          <w:sz w:val="30"/>
        </w:rPr>
        <w:lastRenderedPageBreak/>
        <w:t>美国通报长期使用氯吡格雷未改变患者总体死亡风险</w:t>
      </w:r>
    </w:p>
    <w:p w:rsidR="00D47D89" w:rsidRPr="003D1388" w:rsidRDefault="006F3D67" w:rsidP="00D47D89">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3D1388">
        <w:rPr>
          <w:rFonts w:ascii="Times New Roman" w:hAnsi="ˎ̥" w:cs="Times New Roman"/>
          <w:color w:val="000000"/>
          <w:sz w:val="21"/>
          <w:szCs w:val="21"/>
        </w:rPr>
        <w:t>美国食品药品监督管理局（</w:t>
      </w:r>
      <w:r w:rsidRPr="003D1388">
        <w:rPr>
          <w:rFonts w:ascii="Times New Roman" w:hAnsi="Times New Roman" w:cs="Times New Roman"/>
          <w:color w:val="000000"/>
          <w:sz w:val="21"/>
          <w:szCs w:val="21"/>
        </w:rPr>
        <w:t>FDA</w:t>
      </w:r>
      <w:r w:rsidRPr="003D1388">
        <w:rPr>
          <w:rFonts w:ascii="Times New Roman" w:hAnsi="ˎ̥" w:cs="Times New Roman"/>
          <w:color w:val="000000"/>
          <w:sz w:val="21"/>
          <w:szCs w:val="21"/>
        </w:rPr>
        <w:t>）曾于</w:t>
      </w:r>
      <w:r w:rsidRPr="003D1388">
        <w:rPr>
          <w:rFonts w:ascii="Times New Roman" w:hAnsi="Times New Roman" w:cs="Times New Roman"/>
          <w:color w:val="000000"/>
          <w:sz w:val="21"/>
          <w:szCs w:val="21"/>
        </w:rPr>
        <w:t>2014</w:t>
      </w:r>
      <w:r w:rsidRPr="003D1388">
        <w:rPr>
          <w:rFonts w:ascii="Times New Roman" w:hAnsi="ˎ̥" w:cs="Times New Roman"/>
          <w:color w:val="000000"/>
          <w:sz w:val="21"/>
          <w:szCs w:val="21"/>
        </w:rPr>
        <w:t>年</w:t>
      </w:r>
      <w:r w:rsidRPr="003D1388">
        <w:rPr>
          <w:rFonts w:ascii="Times New Roman" w:hAnsi="Times New Roman" w:cs="Times New Roman"/>
          <w:color w:val="000000"/>
          <w:sz w:val="21"/>
          <w:szCs w:val="21"/>
        </w:rPr>
        <w:t>11</w:t>
      </w:r>
      <w:r w:rsidRPr="003D1388">
        <w:rPr>
          <w:rFonts w:ascii="Times New Roman" w:hAnsi="ˎ̥" w:cs="Times New Roman"/>
          <w:color w:val="000000"/>
          <w:sz w:val="21"/>
          <w:szCs w:val="21"/>
        </w:rPr>
        <w:t>月</w:t>
      </w:r>
      <w:r w:rsidRPr="003D1388">
        <w:rPr>
          <w:rFonts w:ascii="Times New Roman" w:hAnsi="Times New Roman" w:cs="Times New Roman"/>
          <w:color w:val="000000"/>
          <w:sz w:val="21"/>
          <w:szCs w:val="21"/>
        </w:rPr>
        <w:t>16</w:t>
      </w:r>
      <w:r w:rsidRPr="003D1388">
        <w:rPr>
          <w:rFonts w:ascii="Times New Roman" w:hAnsi="ˎ̥" w:cs="Times New Roman"/>
          <w:color w:val="000000"/>
          <w:sz w:val="21"/>
          <w:szCs w:val="21"/>
        </w:rPr>
        <w:t>日发布药物安全性通讯，提示初步试验数据显示长期抗血小板治疗的患者有临床获益，但非心血管死亡风险升高。因此</w:t>
      </w:r>
      <w:r w:rsidRPr="003D1388">
        <w:rPr>
          <w:rFonts w:ascii="Times New Roman" w:hAnsi="Times New Roman" w:cs="Times New Roman"/>
          <w:color w:val="000000"/>
          <w:sz w:val="21"/>
          <w:szCs w:val="21"/>
        </w:rPr>
        <w:t>FDA</w:t>
      </w:r>
      <w:r w:rsidRPr="003D1388">
        <w:rPr>
          <w:rFonts w:ascii="Times New Roman" w:hAnsi="ˎ̥" w:cs="Times New Roman"/>
          <w:color w:val="000000"/>
          <w:sz w:val="21"/>
          <w:szCs w:val="21"/>
        </w:rPr>
        <w:t>针对长期抗血小板治疗开展了评估工作。评估结果未发现氯吡格雷对冠状动脉疾病患者或具有冠状动脉疾病风险患者的总体死亡率存在良好或不良影响的证据，也未发现对癌症影响的证据。长期使用血液稀释药物波立维（氯吡格雷）未升高或降低心脏病患者或具有心脏病风险患者的总体死亡风险。此外，双重抗血小板治疗（</w:t>
      </w:r>
      <w:r w:rsidRPr="003D1388">
        <w:rPr>
          <w:rFonts w:ascii="Times New Roman" w:hAnsi="Times New Roman" w:cs="Times New Roman"/>
          <w:color w:val="000000"/>
          <w:sz w:val="21"/>
          <w:szCs w:val="21"/>
        </w:rPr>
        <w:t>DAPT</w:t>
      </w:r>
      <w:r w:rsidRPr="003D1388">
        <w:rPr>
          <w:rFonts w:ascii="Times New Roman" w:hAnsi="ˎ̥" w:cs="Times New Roman"/>
          <w:color w:val="000000"/>
          <w:sz w:val="21"/>
          <w:szCs w:val="21"/>
        </w:rPr>
        <w:t>）</w:t>
      </w:r>
      <w:r w:rsidRPr="003D1388">
        <w:rPr>
          <w:rFonts w:ascii="Times New Roman" w:hAnsi="Times New Roman" w:cs="Times New Roman"/>
          <w:color w:val="000000"/>
          <w:sz w:val="21"/>
          <w:szCs w:val="21"/>
        </w:rPr>
        <w:t>1</w:t>
      </w:r>
      <w:r w:rsidRPr="003D1388">
        <w:rPr>
          <w:rFonts w:ascii="Times New Roman" w:hAnsi="ˎ̥" w:cs="Times New Roman"/>
          <w:color w:val="000000"/>
          <w:sz w:val="21"/>
          <w:szCs w:val="21"/>
        </w:rPr>
        <w:t>试验和多项其他临床试验的评价结果也未表明氯吡格雷增加了癌症或癌症所致死亡的风险。</w:t>
      </w:r>
    </w:p>
    <w:p w:rsidR="00D47D89" w:rsidRPr="003D1388" w:rsidRDefault="006F3D67" w:rsidP="00D47D89">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3D1388">
        <w:rPr>
          <w:rFonts w:ascii="Times New Roman" w:hAnsi="Times New Roman" w:cs="Times New Roman"/>
          <w:color w:val="000000"/>
          <w:sz w:val="21"/>
          <w:szCs w:val="21"/>
        </w:rPr>
        <w:t>FDA</w:t>
      </w:r>
      <w:r w:rsidRPr="003D1388">
        <w:rPr>
          <w:rFonts w:ascii="Times New Roman" w:hAnsi="ˎ̥" w:cs="Times New Roman"/>
          <w:color w:val="000000"/>
          <w:sz w:val="21"/>
          <w:szCs w:val="21"/>
        </w:rPr>
        <w:t>同时提示由于可能导致心脏病发作和血栓风险升高，故患者不应停用氯吡格雷或其他抗血小板药物。如果对氯吡格雷有任何疑问或顾虑，请咨询医疗保健专业人士。医疗保健专业人士在开始治疗前应考虑现有抗血小板药物的获益和风险。</w:t>
      </w:r>
    </w:p>
    <w:p w:rsidR="00D47D89" w:rsidRPr="003D1388" w:rsidRDefault="006F3D67" w:rsidP="00D47D89">
      <w:pPr>
        <w:pStyle w:val="a5"/>
        <w:spacing w:before="0" w:beforeAutospacing="0" w:after="0" w:afterAutospacing="0" w:line="360" w:lineRule="exact"/>
        <w:ind w:firstLineChars="200" w:firstLine="420"/>
        <w:jc w:val="both"/>
        <w:rPr>
          <w:rFonts w:ascii="Times New Roman" w:eastAsiaTheme="minorEastAsia" w:hAnsi="Times New Roman" w:cs="Times New Roman"/>
          <w:color w:val="000000"/>
          <w:sz w:val="21"/>
          <w:szCs w:val="21"/>
        </w:rPr>
      </w:pPr>
      <w:r w:rsidRPr="003D1388">
        <w:rPr>
          <w:rFonts w:ascii="Times New Roman" w:hAnsi="ˎ̥" w:cs="Times New Roman"/>
          <w:color w:val="000000"/>
          <w:sz w:val="21"/>
          <w:szCs w:val="21"/>
        </w:rPr>
        <w:t>在双重抗血小板治疗（</w:t>
      </w:r>
      <w:r w:rsidRPr="003D1388">
        <w:rPr>
          <w:rFonts w:ascii="Times New Roman" w:hAnsi="Times New Roman" w:cs="Times New Roman"/>
          <w:color w:val="000000"/>
          <w:sz w:val="21"/>
          <w:szCs w:val="21"/>
        </w:rPr>
        <w:t>DAPT</w:t>
      </w:r>
      <w:r w:rsidRPr="003D1388">
        <w:rPr>
          <w:rFonts w:ascii="Times New Roman" w:hAnsi="ˎ̥" w:cs="Times New Roman"/>
          <w:color w:val="000000"/>
          <w:sz w:val="21"/>
          <w:szCs w:val="21"/>
        </w:rPr>
        <w:t>）的大型临床试验中，为了研究报告的氯吡格雷治疗后死亡和癌症相关死亡风险的升高，</w:t>
      </w:r>
      <w:r w:rsidRPr="003D1388">
        <w:rPr>
          <w:rFonts w:ascii="Times New Roman" w:hAnsi="Times New Roman" w:cs="Times New Roman"/>
          <w:color w:val="000000"/>
          <w:sz w:val="21"/>
          <w:szCs w:val="21"/>
        </w:rPr>
        <w:t>FDA</w:t>
      </w:r>
      <w:r w:rsidRPr="003D1388">
        <w:rPr>
          <w:rFonts w:ascii="Times New Roman" w:hAnsi="ˎ̥" w:cs="Times New Roman"/>
          <w:color w:val="000000"/>
          <w:sz w:val="21"/>
          <w:szCs w:val="21"/>
        </w:rPr>
        <w:t>审查了</w:t>
      </w:r>
      <w:r w:rsidRPr="003D1388">
        <w:rPr>
          <w:rFonts w:ascii="Times New Roman" w:hAnsi="Times New Roman" w:cs="Times New Roman"/>
          <w:color w:val="000000"/>
          <w:sz w:val="21"/>
          <w:szCs w:val="21"/>
        </w:rPr>
        <w:t>DAPT</w:t>
      </w:r>
      <w:r w:rsidRPr="003D1388">
        <w:rPr>
          <w:rFonts w:ascii="Times New Roman" w:hAnsi="ˎ̥" w:cs="Times New Roman"/>
          <w:color w:val="000000"/>
          <w:sz w:val="21"/>
          <w:szCs w:val="21"/>
        </w:rPr>
        <w:t>试验及可获得有关死亡率、癌症所致死亡或将癌症报告为不良事件等数据的其他大型长期氯吡格雷临床试验的结果</w:t>
      </w:r>
      <w:r w:rsidRPr="003D1388">
        <w:rPr>
          <w:rFonts w:ascii="Times New Roman" w:hAnsi="Times New Roman" w:cs="Times New Roman"/>
          <w:color w:val="000000"/>
          <w:sz w:val="18"/>
          <w:szCs w:val="18"/>
          <w:vertAlign w:val="superscript"/>
        </w:rPr>
        <w:t>2-13</w:t>
      </w:r>
      <w:r w:rsidRPr="003D1388">
        <w:rPr>
          <w:rFonts w:ascii="Times New Roman" w:hAnsi="ˎ̥" w:cs="Times New Roman"/>
          <w:color w:val="000000"/>
          <w:sz w:val="21"/>
          <w:szCs w:val="21"/>
        </w:rPr>
        <w:t>。</w:t>
      </w:r>
      <w:r w:rsidRPr="003D1388">
        <w:rPr>
          <w:rFonts w:ascii="Times New Roman" w:hAnsi="Times New Roman" w:cs="Times New Roman"/>
          <w:color w:val="000000"/>
          <w:sz w:val="21"/>
          <w:szCs w:val="21"/>
        </w:rPr>
        <w:t>DAPT</w:t>
      </w:r>
      <w:r w:rsidRPr="003D1388">
        <w:rPr>
          <w:rFonts w:ascii="Times New Roman" w:hAnsi="ˎ̥" w:cs="Times New Roman"/>
          <w:color w:val="000000"/>
          <w:sz w:val="21"/>
          <w:szCs w:val="21"/>
        </w:rPr>
        <w:t>试验在行药物洗脱冠脉支架放置术患者中，将接受双重抗血小板</w:t>
      </w:r>
      <w:r w:rsidRPr="003D1388">
        <w:rPr>
          <w:rFonts w:ascii="Times New Roman" w:hAnsi="Times New Roman" w:cs="Times New Roman"/>
          <w:color w:val="000000"/>
          <w:sz w:val="21"/>
          <w:szCs w:val="21"/>
        </w:rPr>
        <w:t>12</w:t>
      </w:r>
      <w:r w:rsidRPr="003D1388">
        <w:rPr>
          <w:rFonts w:ascii="Times New Roman" w:hAnsi="ˎ̥" w:cs="Times New Roman"/>
          <w:color w:val="000000"/>
          <w:sz w:val="21"/>
          <w:szCs w:val="21"/>
        </w:rPr>
        <w:t>个月治疗（氯吡格雷</w:t>
      </w:r>
      <w:r w:rsidRPr="003D1388">
        <w:rPr>
          <w:rFonts w:ascii="Times New Roman" w:hAnsi="Times New Roman" w:cs="Times New Roman"/>
          <w:color w:val="000000"/>
          <w:sz w:val="21"/>
          <w:szCs w:val="21"/>
        </w:rPr>
        <w:t>[</w:t>
      </w:r>
      <w:r w:rsidRPr="003D1388">
        <w:rPr>
          <w:rFonts w:ascii="Times New Roman" w:hAnsi="ˎ̥" w:cs="Times New Roman"/>
          <w:color w:val="000000"/>
          <w:sz w:val="21"/>
          <w:szCs w:val="21"/>
        </w:rPr>
        <w:t>波立维</w:t>
      </w:r>
      <w:r w:rsidRPr="003D1388">
        <w:rPr>
          <w:rFonts w:ascii="Times New Roman" w:hAnsi="Times New Roman" w:cs="Times New Roman"/>
          <w:color w:val="000000"/>
          <w:sz w:val="21"/>
          <w:szCs w:val="21"/>
        </w:rPr>
        <w:t>]</w:t>
      </w:r>
      <w:r w:rsidRPr="003D1388">
        <w:rPr>
          <w:rFonts w:ascii="Times New Roman" w:hAnsi="ˎ̥" w:cs="Times New Roman"/>
          <w:color w:val="000000"/>
          <w:sz w:val="21"/>
          <w:szCs w:val="21"/>
        </w:rPr>
        <w:t>或普拉格雷</w:t>
      </w:r>
      <w:r w:rsidRPr="003D1388">
        <w:rPr>
          <w:rFonts w:ascii="Times New Roman" w:hAnsi="Times New Roman" w:cs="Times New Roman"/>
          <w:color w:val="000000"/>
          <w:sz w:val="21"/>
          <w:szCs w:val="21"/>
        </w:rPr>
        <w:t>[Effient]</w:t>
      </w:r>
      <w:r w:rsidRPr="003D1388">
        <w:rPr>
          <w:rFonts w:ascii="Times New Roman" w:hAnsi="ˎ̥" w:cs="Times New Roman"/>
          <w:color w:val="000000"/>
          <w:sz w:val="21"/>
          <w:szCs w:val="21"/>
        </w:rPr>
        <w:t>联合阿司匹林）与</w:t>
      </w:r>
      <w:r w:rsidRPr="003D1388">
        <w:rPr>
          <w:rFonts w:ascii="Times New Roman" w:hAnsi="Times New Roman" w:cs="Times New Roman"/>
          <w:color w:val="000000"/>
          <w:sz w:val="21"/>
          <w:szCs w:val="21"/>
        </w:rPr>
        <w:t>30</w:t>
      </w:r>
      <w:r w:rsidRPr="003D1388">
        <w:rPr>
          <w:rFonts w:ascii="Times New Roman" w:hAnsi="ˎ̥" w:cs="Times New Roman"/>
          <w:color w:val="000000"/>
          <w:sz w:val="21"/>
          <w:szCs w:val="21"/>
        </w:rPr>
        <w:t>个月治疗进行对比。与接受氯吡格雷</w:t>
      </w:r>
      <w:r w:rsidRPr="003D1388">
        <w:rPr>
          <w:rFonts w:ascii="Times New Roman" w:hAnsi="Times New Roman" w:cs="Times New Roman"/>
          <w:color w:val="000000"/>
          <w:sz w:val="21"/>
          <w:szCs w:val="21"/>
        </w:rPr>
        <w:t>12</w:t>
      </w:r>
      <w:r w:rsidRPr="003D1388">
        <w:rPr>
          <w:rFonts w:ascii="Times New Roman" w:hAnsi="ˎ̥" w:cs="Times New Roman"/>
          <w:color w:val="000000"/>
          <w:sz w:val="21"/>
          <w:szCs w:val="21"/>
        </w:rPr>
        <w:t>个月治疗的患者相比，接受</w:t>
      </w:r>
      <w:r w:rsidRPr="003D1388">
        <w:rPr>
          <w:rFonts w:ascii="Times New Roman" w:hAnsi="Times New Roman" w:cs="Times New Roman"/>
          <w:color w:val="000000"/>
          <w:sz w:val="21"/>
          <w:szCs w:val="21"/>
        </w:rPr>
        <w:t>30</w:t>
      </w:r>
      <w:r w:rsidRPr="003D1388">
        <w:rPr>
          <w:rFonts w:ascii="Times New Roman" w:hAnsi="ˎ̥" w:cs="Times New Roman"/>
          <w:color w:val="000000"/>
          <w:sz w:val="21"/>
          <w:szCs w:val="21"/>
        </w:rPr>
        <w:t>个月治疗的患者心脏病发作和支架血栓形成的发生率降低，但主要由癌症或外伤所致的死亡率升高。</w:t>
      </w:r>
    </w:p>
    <w:p w:rsidR="005311D7" w:rsidRPr="003D1388" w:rsidRDefault="006F3D67" w:rsidP="006F3D67">
      <w:pPr>
        <w:pStyle w:val="a5"/>
        <w:spacing w:before="0" w:beforeAutospacing="0" w:after="0" w:afterAutospacing="0" w:line="360" w:lineRule="exact"/>
        <w:ind w:firstLineChars="200" w:firstLine="420"/>
        <w:jc w:val="both"/>
        <w:rPr>
          <w:rFonts w:ascii="Times New Roman" w:hAnsi="Times New Roman" w:cs="Times New Roman"/>
          <w:color w:val="000000"/>
          <w:sz w:val="21"/>
          <w:szCs w:val="21"/>
        </w:rPr>
      </w:pPr>
      <w:r w:rsidRPr="003D1388">
        <w:rPr>
          <w:rFonts w:ascii="Times New Roman" w:hAnsi="Times New Roman" w:cs="Times New Roman"/>
          <w:color w:val="000000"/>
          <w:sz w:val="21"/>
          <w:szCs w:val="21"/>
        </w:rPr>
        <w:t>FDA</w:t>
      </w:r>
      <w:r w:rsidRPr="003D1388">
        <w:rPr>
          <w:rFonts w:ascii="Times New Roman" w:hAnsi="ˎ̥" w:cs="Times New Roman"/>
          <w:color w:val="000000"/>
          <w:sz w:val="21"/>
          <w:szCs w:val="21"/>
        </w:rPr>
        <w:t>进行了荟萃分析，对其他多项长期临床试验的结果进行了研究，以评估氯吡格雷对全因死亡率的影响。结果表明，长期（</w:t>
      </w:r>
      <w:r w:rsidRPr="003D1388">
        <w:rPr>
          <w:rFonts w:ascii="Times New Roman" w:hAnsi="Times New Roman" w:cs="Times New Roman"/>
          <w:color w:val="000000"/>
          <w:sz w:val="21"/>
          <w:szCs w:val="21"/>
        </w:rPr>
        <w:t>≥12</w:t>
      </w:r>
      <w:r w:rsidRPr="003D1388">
        <w:rPr>
          <w:rFonts w:ascii="Times New Roman" w:hAnsi="ˎ̥" w:cs="Times New Roman"/>
          <w:color w:val="000000"/>
          <w:sz w:val="21"/>
          <w:szCs w:val="21"/>
        </w:rPr>
        <w:t>个月）使用氯吡格雷联合阿司匹林进行双重抗血小板治疗与短期（</w:t>
      </w:r>
      <w:r w:rsidRPr="003D1388">
        <w:rPr>
          <w:rFonts w:ascii="Times New Roman" w:hAnsi="Times New Roman" w:cs="Times New Roman"/>
          <w:color w:val="000000"/>
          <w:sz w:val="21"/>
          <w:szCs w:val="21"/>
        </w:rPr>
        <w:t>≤6</w:t>
      </w:r>
      <w:r w:rsidRPr="003D1388">
        <w:rPr>
          <w:rFonts w:ascii="Times New Roman" w:hAnsi="ˎ̥" w:cs="Times New Roman"/>
          <w:color w:val="000000"/>
          <w:sz w:val="21"/>
          <w:szCs w:val="21"/>
        </w:rPr>
        <w:t>个月）使用氯吡格雷联合阿司匹林或阿司匹林单药治疗相比，未显示改变总体死亡风险。而且，长期治疗时癌症相关死亡风险或癌症相关不良事件也未明显增加。（</w:t>
      </w:r>
      <w:r w:rsidRPr="003D1388">
        <w:rPr>
          <w:rFonts w:ascii="Times New Roman" w:hAnsi="Times New Roman" w:cs="Times New Roman"/>
          <w:color w:val="000000"/>
          <w:sz w:val="21"/>
          <w:szCs w:val="21"/>
        </w:rPr>
        <w:t>FDA</w:t>
      </w:r>
      <w:r w:rsidRPr="003D1388">
        <w:rPr>
          <w:rFonts w:ascii="Times New Roman" w:hAnsi="ˎ̥" w:cs="Times New Roman"/>
          <w:color w:val="000000"/>
          <w:sz w:val="21"/>
          <w:szCs w:val="21"/>
        </w:rPr>
        <w:t>网站）</w:t>
      </w:r>
    </w:p>
    <w:p w:rsidR="007F333F" w:rsidRPr="003D1388" w:rsidRDefault="007F333F" w:rsidP="006F3D67">
      <w:pPr>
        <w:pStyle w:val="a5"/>
        <w:spacing w:before="0" w:beforeAutospacing="0" w:after="0" w:afterAutospacing="0" w:line="360" w:lineRule="exact"/>
        <w:ind w:firstLineChars="200" w:firstLine="420"/>
        <w:jc w:val="both"/>
        <w:rPr>
          <w:rFonts w:ascii="Times New Roman" w:hAnsi="Times New Roman" w:cs="Times New Roman"/>
          <w:color w:val="000000"/>
          <w:sz w:val="21"/>
          <w:szCs w:val="21"/>
        </w:rPr>
      </w:pPr>
    </w:p>
    <w:p w:rsidR="007F333F" w:rsidRPr="003D1388" w:rsidRDefault="007F333F" w:rsidP="006F3D67">
      <w:pPr>
        <w:pStyle w:val="a5"/>
        <w:spacing w:before="0" w:beforeAutospacing="0" w:after="0" w:afterAutospacing="0" w:line="360" w:lineRule="exact"/>
        <w:ind w:firstLineChars="200" w:firstLine="420"/>
        <w:jc w:val="both"/>
        <w:rPr>
          <w:rFonts w:ascii="Times New Roman" w:hAnsi="Times New Roman" w:cs="Times New Roman"/>
          <w:color w:val="000000"/>
          <w:sz w:val="21"/>
          <w:szCs w:val="21"/>
        </w:rPr>
      </w:pPr>
    </w:p>
    <w:p w:rsidR="00F21256" w:rsidRPr="003D1388" w:rsidRDefault="00AE4285" w:rsidP="00196F77">
      <w:pPr>
        <w:widowControl/>
        <w:shd w:val="clear" w:color="auto" w:fill="FFFFFF"/>
        <w:spacing w:line="360" w:lineRule="exact"/>
        <w:ind w:firstLine="480"/>
        <w:rPr>
          <w:rFonts w:ascii="Times New Roman" w:eastAsia="宋体" w:hAnsi="Times New Roman" w:cs="Times New Roman"/>
          <w:color w:val="000000"/>
          <w:szCs w:val="26"/>
        </w:rPr>
      </w:pPr>
      <w:r w:rsidRPr="003D1388">
        <w:rPr>
          <w:rFonts w:ascii="Times New Roman" w:eastAsia="宋体" w:hAnsi="Times New Roman" w:cs="Times New Roman"/>
          <w:color w:val="000000"/>
          <w:szCs w:val="26"/>
        </w:rPr>
        <w:t xml:space="preserve">                                                 </w:t>
      </w:r>
      <w:r w:rsidR="00990E4A" w:rsidRPr="003D1388">
        <w:rPr>
          <w:rFonts w:ascii="Times New Roman" w:eastAsia="宋体" w:hAnsi="Times New Roman" w:cs="Times New Roman"/>
          <w:color w:val="000000"/>
          <w:szCs w:val="26"/>
        </w:rPr>
        <w:t xml:space="preserve"> </w:t>
      </w:r>
      <w:r w:rsidR="00196F77" w:rsidRPr="003D1388">
        <w:rPr>
          <w:rFonts w:ascii="Times New Roman" w:eastAsia="宋体" w:hAnsi="Times New Roman" w:cs="Times New Roman"/>
          <w:color w:val="000000"/>
          <w:szCs w:val="26"/>
        </w:rPr>
        <w:t xml:space="preserve">  </w:t>
      </w:r>
    </w:p>
    <w:p w:rsidR="00F21256" w:rsidRPr="003D1388" w:rsidRDefault="00F21256" w:rsidP="00196F77">
      <w:pPr>
        <w:widowControl/>
        <w:shd w:val="clear" w:color="auto" w:fill="FFFFFF"/>
        <w:spacing w:line="360" w:lineRule="exact"/>
        <w:ind w:firstLine="480"/>
        <w:rPr>
          <w:rFonts w:ascii="Times New Roman" w:eastAsia="宋体" w:hAnsi="Times New Roman" w:cs="Times New Roman"/>
          <w:color w:val="000000"/>
          <w:szCs w:val="26"/>
        </w:rPr>
      </w:pPr>
    </w:p>
    <w:p w:rsidR="00AE4285" w:rsidRPr="003D1388" w:rsidRDefault="00196F77" w:rsidP="00F21256">
      <w:pPr>
        <w:widowControl/>
        <w:shd w:val="clear" w:color="auto" w:fill="FFFFFF"/>
        <w:spacing w:line="360" w:lineRule="exact"/>
        <w:ind w:firstLineChars="2828" w:firstLine="5939"/>
        <w:rPr>
          <w:rFonts w:ascii="Times New Roman" w:hAnsi="Times New Roman" w:cs="Times New Roman"/>
          <w:color w:val="000000"/>
          <w:kern w:val="0"/>
          <w:szCs w:val="21"/>
        </w:rPr>
      </w:pPr>
      <w:r w:rsidRPr="003D1388">
        <w:rPr>
          <w:rFonts w:ascii="Times New Roman" w:eastAsia="宋体" w:hAnsi="Times New Roman" w:cs="Times New Roman"/>
          <w:color w:val="000000"/>
          <w:szCs w:val="26"/>
        </w:rPr>
        <w:t xml:space="preserve"> </w:t>
      </w:r>
      <w:r w:rsidRPr="003D1388">
        <w:rPr>
          <w:rFonts w:ascii="Times New Roman" w:eastAsia="宋体" w:hAnsi="Times New Roman" w:cs="Times New Roman"/>
          <w:color w:val="000000"/>
          <w:szCs w:val="26"/>
        </w:rPr>
        <w:t>药</w:t>
      </w:r>
      <w:r w:rsidR="00AE4285" w:rsidRPr="003D1388">
        <w:rPr>
          <w:rFonts w:ascii="Times New Roman" w:hAnsi="Times New Roman" w:cs="Times New Roman"/>
          <w:color w:val="000000"/>
          <w:kern w:val="0"/>
          <w:szCs w:val="21"/>
        </w:rPr>
        <w:t>学</w:t>
      </w:r>
      <w:r w:rsidR="00DD4775" w:rsidRPr="003D1388">
        <w:rPr>
          <w:rFonts w:ascii="Times New Roman" w:hAnsi="Times New Roman" w:cs="Times New Roman"/>
          <w:color w:val="000000"/>
          <w:kern w:val="0"/>
          <w:szCs w:val="21"/>
        </w:rPr>
        <w:t>部</w:t>
      </w:r>
      <w:r w:rsidR="00AE4285" w:rsidRPr="003D1388">
        <w:rPr>
          <w:rFonts w:ascii="Times New Roman" w:hAnsi="Times New Roman" w:cs="Times New Roman"/>
          <w:color w:val="000000"/>
          <w:kern w:val="0"/>
          <w:szCs w:val="21"/>
        </w:rPr>
        <w:t xml:space="preserve">  </w:t>
      </w:r>
      <w:r w:rsidR="00AE4285" w:rsidRPr="003D1388">
        <w:rPr>
          <w:rFonts w:ascii="Times New Roman" w:hAnsi="Times New Roman" w:cs="Times New Roman"/>
          <w:color w:val="000000"/>
          <w:kern w:val="0"/>
          <w:szCs w:val="21"/>
        </w:rPr>
        <w:t>临床药学室</w:t>
      </w:r>
    </w:p>
    <w:p w:rsidR="00592169" w:rsidRPr="003D1388" w:rsidRDefault="00AE4285" w:rsidP="00AA0ACD">
      <w:pPr>
        <w:spacing w:line="360" w:lineRule="exact"/>
        <w:ind w:firstLineChars="2900" w:firstLine="6090"/>
        <w:rPr>
          <w:rFonts w:ascii="Times New Roman" w:hAnsi="Times New Roman" w:cs="Times New Roman"/>
          <w:color w:val="000000"/>
          <w:kern w:val="0"/>
          <w:szCs w:val="21"/>
        </w:rPr>
      </w:pPr>
      <w:r w:rsidRPr="003D1388">
        <w:rPr>
          <w:rFonts w:ascii="Times New Roman" w:hAnsi="Times New Roman" w:cs="Times New Roman"/>
          <w:color w:val="000000"/>
          <w:kern w:val="0"/>
          <w:szCs w:val="21"/>
        </w:rPr>
        <w:t>201</w:t>
      </w:r>
      <w:r w:rsidR="008332B2" w:rsidRPr="003D1388">
        <w:rPr>
          <w:rFonts w:ascii="Times New Roman" w:hAnsi="Times New Roman" w:cs="Times New Roman"/>
          <w:color w:val="000000"/>
          <w:kern w:val="0"/>
          <w:szCs w:val="21"/>
        </w:rPr>
        <w:t>6</w:t>
      </w:r>
      <w:r w:rsidRPr="003D1388">
        <w:rPr>
          <w:rFonts w:ascii="Times New Roman" w:hAnsi="Times New Roman" w:cs="Times New Roman"/>
          <w:color w:val="000000"/>
          <w:kern w:val="0"/>
          <w:szCs w:val="21"/>
        </w:rPr>
        <w:t>年</w:t>
      </w:r>
      <w:r w:rsidR="008332B2" w:rsidRPr="003D1388">
        <w:rPr>
          <w:rFonts w:ascii="Times New Roman" w:hAnsi="Times New Roman" w:cs="Times New Roman"/>
          <w:color w:val="000000"/>
          <w:kern w:val="0"/>
          <w:szCs w:val="21"/>
        </w:rPr>
        <w:t>3</w:t>
      </w:r>
      <w:r w:rsidRPr="003D1388">
        <w:rPr>
          <w:rFonts w:ascii="Times New Roman" w:hAnsi="Times New Roman" w:cs="Times New Roman"/>
          <w:color w:val="000000"/>
          <w:kern w:val="0"/>
          <w:szCs w:val="21"/>
        </w:rPr>
        <w:t>月</w:t>
      </w:r>
      <w:r w:rsidR="001E5A61" w:rsidRPr="003D1388">
        <w:rPr>
          <w:rFonts w:ascii="Times New Roman" w:hAnsi="Times New Roman" w:cs="Times New Roman"/>
          <w:color w:val="000000"/>
          <w:kern w:val="0"/>
          <w:szCs w:val="21"/>
        </w:rPr>
        <w:t>2</w:t>
      </w:r>
      <w:r w:rsidR="00AA0ACD">
        <w:rPr>
          <w:rFonts w:ascii="Times New Roman" w:hAnsi="Times New Roman" w:cs="Times New Roman" w:hint="eastAsia"/>
          <w:color w:val="000000"/>
          <w:kern w:val="0"/>
          <w:szCs w:val="21"/>
        </w:rPr>
        <w:t>8</w:t>
      </w:r>
      <w:r w:rsidRPr="003D1388">
        <w:rPr>
          <w:rFonts w:ascii="Times New Roman" w:hAnsi="Times New Roman" w:cs="Times New Roman"/>
          <w:color w:val="000000"/>
          <w:kern w:val="0"/>
          <w:szCs w:val="21"/>
        </w:rPr>
        <w:t>日</w:t>
      </w:r>
    </w:p>
    <w:p w:rsidR="002F629D" w:rsidRPr="00375587" w:rsidRDefault="002F629D" w:rsidP="00196F77">
      <w:pPr>
        <w:spacing w:line="360" w:lineRule="exact"/>
        <w:rPr>
          <w:rFonts w:ascii="Times New Roman" w:hAnsi="Times New Roman" w:cs="Times New Roman"/>
          <w:color w:val="000000"/>
          <w:kern w:val="0"/>
          <w:szCs w:val="21"/>
        </w:rPr>
      </w:pPr>
    </w:p>
    <w:sectPr w:rsidR="002F629D" w:rsidRPr="00375587" w:rsidSect="00CC53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78A" w:rsidRDefault="008C678A" w:rsidP="0043285C">
      <w:r>
        <w:separator/>
      </w:r>
    </w:p>
  </w:endnote>
  <w:endnote w:type="continuationSeparator" w:id="1">
    <w:p w:rsidR="008C678A" w:rsidRDefault="008C678A" w:rsidP="00432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行楷">
    <w:panose1 w:val="02010800040101010101"/>
    <w:charset w:val="86"/>
    <w:family w:val="auto"/>
    <w:pitch w:val="variable"/>
    <w:sig w:usb0="00000001" w:usb1="080F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78A" w:rsidRDefault="008C678A" w:rsidP="0043285C">
      <w:r>
        <w:separator/>
      </w:r>
    </w:p>
  </w:footnote>
  <w:footnote w:type="continuationSeparator" w:id="1">
    <w:p w:rsidR="008C678A" w:rsidRDefault="008C678A" w:rsidP="0043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F6F"/>
    <w:multiLevelType w:val="hybridMultilevel"/>
    <w:tmpl w:val="0F1E3984"/>
    <w:lvl w:ilvl="0" w:tplc="AC62AF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575AB6"/>
    <w:multiLevelType w:val="hybridMultilevel"/>
    <w:tmpl w:val="8A5A33B2"/>
    <w:lvl w:ilvl="0" w:tplc="CDA268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EC4EAB"/>
    <w:multiLevelType w:val="hybridMultilevel"/>
    <w:tmpl w:val="DA826A1C"/>
    <w:lvl w:ilvl="0" w:tplc="AE3E13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AB91AE7"/>
    <w:multiLevelType w:val="hybridMultilevel"/>
    <w:tmpl w:val="50124F7A"/>
    <w:lvl w:ilvl="0" w:tplc="CC50D75A">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54223E"/>
    <w:multiLevelType w:val="hybridMultilevel"/>
    <w:tmpl w:val="3CB2F050"/>
    <w:lvl w:ilvl="0" w:tplc="97202A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F07026B"/>
    <w:multiLevelType w:val="hybridMultilevel"/>
    <w:tmpl w:val="014E7E48"/>
    <w:lvl w:ilvl="0" w:tplc="495016CC">
      <w:start w:val="1"/>
      <w:numFmt w:val="decimal"/>
      <w:lvlText w:val="%1."/>
      <w:lvlJc w:val="left"/>
      <w:pPr>
        <w:ind w:left="615" w:hanging="36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6">
    <w:nsid w:val="4F746B29"/>
    <w:multiLevelType w:val="hybridMultilevel"/>
    <w:tmpl w:val="A6406670"/>
    <w:lvl w:ilvl="0" w:tplc="3EA0E938">
      <w:start w:val="1"/>
      <w:numFmt w:val="japaneseCounting"/>
      <w:lvlText w:val="%1、"/>
      <w:lvlJc w:val="left"/>
      <w:pPr>
        <w:ind w:left="720" w:hanging="720"/>
      </w:pPr>
      <w:rPr>
        <w:rFonts w:hint="default"/>
        <w:b/>
        <w:color w:val="093A9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8A3D2D"/>
    <w:multiLevelType w:val="hybridMultilevel"/>
    <w:tmpl w:val="D8A85AEA"/>
    <w:lvl w:ilvl="0" w:tplc="BB3CA5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184A3C"/>
    <w:multiLevelType w:val="hybridMultilevel"/>
    <w:tmpl w:val="9A44BE38"/>
    <w:lvl w:ilvl="0" w:tplc="4F34CC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5"/>
  </w:num>
  <w:num w:numId="4">
    <w:abstractNumId w:val="7"/>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6A1"/>
    <w:rsid w:val="00000DE2"/>
    <w:rsid w:val="00011FBC"/>
    <w:rsid w:val="00042D94"/>
    <w:rsid w:val="00060D97"/>
    <w:rsid w:val="00062AC2"/>
    <w:rsid w:val="000A7E62"/>
    <w:rsid w:val="000B3E31"/>
    <w:rsid w:val="000B543D"/>
    <w:rsid w:val="000B74A3"/>
    <w:rsid w:val="000C3CFB"/>
    <w:rsid w:val="000D6786"/>
    <w:rsid w:val="000E5C72"/>
    <w:rsid w:val="00124ECE"/>
    <w:rsid w:val="001441B7"/>
    <w:rsid w:val="001746F2"/>
    <w:rsid w:val="001776A1"/>
    <w:rsid w:val="00196F77"/>
    <w:rsid w:val="001A3145"/>
    <w:rsid w:val="001B1E9E"/>
    <w:rsid w:val="001D7344"/>
    <w:rsid w:val="001E22D7"/>
    <w:rsid w:val="001E5A61"/>
    <w:rsid w:val="001F121B"/>
    <w:rsid w:val="0020368F"/>
    <w:rsid w:val="00220EAD"/>
    <w:rsid w:val="00221313"/>
    <w:rsid w:val="00255A54"/>
    <w:rsid w:val="00283906"/>
    <w:rsid w:val="00295EAF"/>
    <w:rsid w:val="002967B1"/>
    <w:rsid w:val="002A0C24"/>
    <w:rsid w:val="002A5C8F"/>
    <w:rsid w:val="002C7672"/>
    <w:rsid w:val="002E07CB"/>
    <w:rsid w:val="002F4C0C"/>
    <w:rsid w:val="002F629D"/>
    <w:rsid w:val="00306E12"/>
    <w:rsid w:val="0031231C"/>
    <w:rsid w:val="003130AC"/>
    <w:rsid w:val="00320AED"/>
    <w:rsid w:val="00332F0B"/>
    <w:rsid w:val="00364CD2"/>
    <w:rsid w:val="00375587"/>
    <w:rsid w:val="003C0341"/>
    <w:rsid w:val="003C7A01"/>
    <w:rsid w:val="003D1388"/>
    <w:rsid w:val="003D7BFA"/>
    <w:rsid w:val="00402DDE"/>
    <w:rsid w:val="0040612C"/>
    <w:rsid w:val="00415FE7"/>
    <w:rsid w:val="0043285C"/>
    <w:rsid w:val="004E65D8"/>
    <w:rsid w:val="00500C4F"/>
    <w:rsid w:val="00505CA4"/>
    <w:rsid w:val="00510FCC"/>
    <w:rsid w:val="00520D58"/>
    <w:rsid w:val="00521879"/>
    <w:rsid w:val="00527D64"/>
    <w:rsid w:val="00530C62"/>
    <w:rsid w:val="005311D7"/>
    <w:rsid w:val="00545290"/>
    <w:rsid w:val="00557C94"/>
    <w:rsid w:val="00582194"/>
    <w:rsid w:val="00592169"/>
    <w:rsid w:val="005C66D3"/>
    <w:rsid w:val="005F67F5"/>
    <w:rsid w:val="00612538"/>
    <w:rsid w:val="0062639E"/>
    <w:rsid w:val="00650BC8"/>
    <w:rsid w:val="006565B5"/>
    <w:rsid w:val="00664B97"/>
    <w:rsid w:val="00664BE6"/>
    <w:rsid w:val="006778AE"/>
    <w:rsid w:val="00680C1A"/>
    <w:rsid w:val="006C7355"/>
    <w:rsid w:val="006D4D92"/>
    <w:rsid w:val="006E7FB9"/>
    <w:rsid w:val="006F3D67"/>
    <w:rsid w:val="007239B5"/>
    <w:rsid w:val="007718AA"/>
    <w:rsid w:val="00793963"/>
    <w:rsid w:val="007A1092"/>
    <w:rsid w:val="007C434B"/>
    <w:rsid w:val="007D6F93"/>
    <w:rsid w:val="007E0EBB"/>
    <w:rsid w:val="007F333F"/>
    <w:rsid w:val="007F5CA1"/>
    <w:rsid w:val="00810EF2"/>
    <w:rsid w:val="00814EA6"/>
    <w:rsid w:val="00815BDB"/>
    <w:rsid w:val="008332B2"/>
    <w:rsid w:val="00835144"/>
    <w:rsid w:val="00845F6C"/>
    <w:rsid w:val="00846475"/>
    <w:rsid w:val="008501F4"/>
    <w:rsid w:val="008826B1"/>
    <w:rsid w:val="00882DDF"/>
    <w:rsid w:val="0088792C"/>
    <w:rsid w:val="008B73F8"/>
    <w:rsid w:val="008C678A"/>
    <w:rsid w:val="008C73E2"/>
    <w:rsid w:val="008F03B1"/>
    <w:rsid w:val="00913AA9"/>
    <w:rsid w:val="00920B1F"/>
    <w:rsid w:val="0096276A"/>
    <w:rsid w:val="00970396"/>
    <w:rsid w:val="00976DF3"/>
    <w:rsid w:val="0098596B"/>
    <w:rsid w:val="00990E4A"/>
    <w:rsid w:val="009A5088"/>
    <w:rsid w:val="009A7226"/>
    <w:rsid w:val="009C65D2"/>
    <w:rsid w:val="009E5A14"/>
    <w:rsid w:val="009E69D4"/>
    <w:rsid w:val="00A05D91"/>
    <w:rsid w:val="00A11A18"/>
    <w:rsid w:val="00A57565"/>
    <w:rsid w:val="00A65F7F"/>
    <w:rsid w:val="00A86EC4"/>
    <w:rsid w:val="00AA0ACD"/>
    <w:rsid w:val="00AB0815"/>
    <w:rsid w:val="00AB13E9"/>
    <w:rsid w:val="00AE4285"/>
    <w:rsid w:val="00AF2130"/>
    <w:rsid w:val="00B24FF4"/>
    <w:rsid w:val="00B355CA"/>
    <w:rsid w:val="00B51532"/>
    <w:rsid w:val="00B61C3D"/>
    <w:rsid w:val="00B80701"/>
    <w:rsid w:val="00B93428"/>
    <w:rsid w:val="00BD2683"/>
    <w:rsid w:val="00BD3EFC"/>
    <w:rsid w:val="00BD5364"/>
    <w:rsid w:val="00BE33F7"/>
    <w:rsid w:val="00C07045"/>
    <w:rsid w:val="00C35A02"/>
    <w:rsid w:val="00C43632"/>
    <w:rsid w:val="00C92927"/>
    <w:rsid w:val="00CC5304"/>
    <w:rsid w:val="00CE06A1"/>
    <w:rsid w:val="00CF0101"/>
    <w:rsid w:val="00CF026E"/>
    <w:rsid w:val="00D10832"/>
    <w:rsid w:val="00D21218"/>
    <w:rsid w:val="00D47D89"/>
    <w:rsid w:val="00D55EBB"/>
    <w:rsid w:val="00D70DA5"/>
    <w:rsid w:val="00D828B2"/>
    <w:rsid w:val="00D96337"/>
    <w:rsid w:val="00DC042E"/>
    <w:rsid w:val="00DD4775"/>
    <w:rsid w:val="00E03652"/>
    <w:rsid w:val="00E22750"/>
    <w:rsid w:val="00E25DD1"/>
    <w:rsid w:val="00E263C3"/>
    <w:rsid w:val="00E35124"/>
    <w:rsid w:val="00E501E4"/>
    <w:rsid w:val="00E513EA"/>
    <w:rsid w:val="00E51658"/>
    <w:rsid w:val="00E6203E"/>
    <w:rsid w:val="00EA3B3C"/>
    <w:rsid w:val="00EB3C3C"/>
    <w:rsid w:val="00EB7525"/>
    <w:rsid w:val="00EC25A7"/>
    <w:rsid w:val="00EC7EAC"/>
    <w:rsid w:val="00ED6F79"/>
    <w:rsid w:val="00EF3E88"/>
    <w:rsid w:val="00F21256"/>
    <w:rsid w:val="00F46335"/>
    <w:rsid w:val="00F65076"/>
    <w:rsid w:val="00F65B4C"/>
    <w:rsid w:val="00F8476F"/>
    <w:rsid w:val="00FB3EAA"/>
    <w:rsid w:val="00FC4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04"/>
    <w:pPr>
      <w:widowControl w:val="0"/>
      <w:jc w:val="both"/>
    </w:pPr>
  </w:style>
  <w:style w:type="paragraph" w:styleId="1">
    <w:name w:val="heading 1"/>
    <w:basedOn w:val="a"/>
    <w:link w:val="1Char"/>
    <w:uiPriority w:val="9"/>
    <w:qFormat/>
    <w:rsid w:val="00510F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76A1"/>
    <w:rPr>
      <w:b/>
      <w:bCs/>
    </w:rPr>
  </w:style>
  <w:style w:type="paragraph" w:styleId="a4">
    <w:name w:val="List Paragraph"/>
    <w:basedOn w:val="a"/>
    <w:uiPriority w:val="34"/>
    <w:qFormat/>
    <w:rsid w:val="00582194"/>
    <w:pPr>
      <w:ind w:firstLineChars="200" w:firstLine="420"/>
    </w:pPr>
  </w:style>
  <w:style w:type="paragraph" w:styleId="a5">
    <w:name w:val="Normal (Web)"/>
    <w:basedOn w:val="a"/>
    <w:uiPriority w:val="99"/>
    <w:unhideWhenUsed/>
    <w:rsid w:val="001F121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510FCC"/>
    <w:rPr>
      <w:rFonts w:ascii="宋体" w:eastAsia="宋体" w:hAnsi="宋体" w:cs="宋体"/>
      <w:b/>
      <w:bCs/>
      <w:kern w:val="36"/>
      <w:sz w:val="48"/>
      <w:szCs w:val="48"/>
    </w:rPr>
  </w:style>
  <w:style w:type="paragraph" w:styleId="a6">
    <w:name w:val="header"/>
    <w:basedOn w:val="a"/>
    <w:link w:val="Char"/>
    <w:uiPriority w:val="99"/>
    <w:semiHidden/>
    <w:unhideWhenUsed/>
    <w:rsid w:val="00432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3285C"/>
    <w:rPr>
      <w:sz w:val="18"/>
      <w:szCs w:val="18"/>
    </w:rPr>
  </w:style>
  <w:style w:type="paragraph" w:styleId="a7">
    <w:name w:val="footer"/>
    <w:basedOn w:val="a"/>
    <w:link w:val="Char0"/>
    <w:uiPriority w:val="99"/>
    <w:semiHidden/>
    <w:unhideWhenUsed/>
    <w:rsid w:val="0043285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3285C"/>
    <w:rPr>
      <w:sz w:val="18"/>
      <w:szCs w:val="18"/>
    </w:rPr>
  </w:style>
  <w:style w:type="paragraph" w:styleId="a8">
    <w:name w:val="Date"/>
    <w:basedOn w:val="a"/>
    <w:next w:val="a"/>
    <w:link w:val="Char1"/>
    <w:uiPriority w:val="99"/>
    <w:semiHidden/>
    <w:unhideWhenUsed/>
    <w:rsid w:val="00592169"/>
    <w:pPr>
      <w:ind w:leftChars="2500" w:left="100"/>
    </w:pPr>
  </w:style>
  <w:style w:type="character" w:customStyle="1" w:styleId="Char1">
    <w:name w:val="日期 Char"/>
    <w:basedOn w:val="a0"/>
    <w:link w:val="a8"/>
    <w:uiPriority w:val="99"/>
    <w:semiHidden/>
    <w:rsid w:val="00592169"/>
  </w:style>
</w:styles>
</file>

<file path=word/webSettings.xml><?xml version="1.0" encoding="utf-8"?>
<w:webSettings xmlns:r="http://schemas.openxmlformats.org/officeDocument/2006/relationships" xmlns:w="http://schemas.openxmlformats.org/wordprocessingml/2006/main">
  <w:divs>
    <w:div w:id="111558115">
      <w:bodyDiv w:val="1"/>
      <w:marLeft w:val="0"/>
      <w:marRight w:val="0"/>
      <w:marTop w:val="0"/>
      <w:marBottom w:val="0"/>
      <w:divBdr>
        <w:top w:val="none" w:sz="0" w:space="0" w:color="auto"/>
        <w:left w:val="none" w:sz="0" w:space="0" w:color="auto"/>
        <w:bottom w:val="none" w:sz="0" w:space="0" w:color="auto"/>
        <w:right w:val="none" w:sz="0" w:space="0" w:color="auto"/>
      </w:divBdr>
    </w:div>
    <w:div w:id="606424553">
      <w:bodyDiv w:val="1"/>
      <w:marLeft w:val="0"/>
      <w:marRight w:val="0"/>
      <w:marTop w:val="0"/>
      <w:marBottom w:val="0"/>
      <w:divBdr>
        <w:top w:val="none" w:sz="0" w:space="0" w:color="auto"/>
        <w:left w:val="none" w:sz="0" w:space="0" w:color="auto"/>
        <w:bottom w:val="none" w:sz="0" w:space="0" w:color="auto"/>
        <w:right w:val="none" w:sz="0" w:space="0" w:color="auto"/>
      </w:divBdr>
    </w:div>
    <w:div w:id="1396277019">
      <w:bodyDiv w:val="1"/>
      <w:marLeft w:val="0"/>
      <w:marRight w:val="0"/>
      <w:marTop w:val="0"/>
      <w:marBottom w:val="0"/>
      <w:divBdr>
        <w:top w:val="none" w:sz="0" w:space="0" w:color="auto"/>
        <w:left w:val="none" w:sz="0" w:space="0" w:color="auto"/>
        <w:bottom w:val="none" w:sz="0" w:space="0" w:color="auto"/>
        <w:right w:val="none" w:sz="0" w:space="0" w:color="auto"/>
      </w:divBdr>
    </w:div>
    <w:div w:id="16151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1257</TotalTime>
  <Pages>2</Pages>
  <Words>940</Words>
  <Characters>5364</Characters>
  <Application>Microsoft Office Word</Application>
  <DocSecurity>0</DocSecurity>
  <Lines>44</Lines>
  <Paragraphs>12</Paragraphs>
  <ScaleCrop>false</ScaleCrop>
  <Company>Microsoft</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138</cp:revision>
  <dcterms:created xsi:type="dcterms:W3CDTF">2015-07-02T07:06:00Z</dcterms:created>
  <dcterms:modified xsi:type="dcterms:W3CDTF">2016-03-28T05:29:00Z</dcterms:modified>
</cp:coreProperties>
</file>