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药物</w:t>
      </w:r>
      <w:r>
        <w:rPr>
          <w:b/>
          <w:sz w:val="44"/>
          <w:szCs w:val="44"/>
        </w:rPr>
        <w:t>临床试验SUSAR</w:t>
      </w:r>
      <w:r>
        <w:rPr>
          <w:rFonts w:hint="eastAsia"/>
          <w:b/>
          <w:sz w:val="44"/>
          <w:szCs w:val="44"/>
        </w:rPr>
        <w:t>递交说明</w:t>
      </w:r>
    </w:p>
    <w:p>
      <w:pPr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尊敬</w:t>
      </w:r>
      <w:r>
        <w:rPr>
          <w:b/>
          <w:sz w:val="32"/>
          <w:szCs w:val="32"/>
        </w:rPr>
        <w:t>的研究者</w:t>
      </w:r>
      <w:r>
        <w:rPr>
          <w:rFonts w:hint="eastAsia"/>
          <w:b/>
          <w:sz w:val="32"/>
          <w:szCs w:val="32"/>
        </w:rPr>
        <w:t>/申办者/</w:t>
      </w:r>
      <w:r>
        <w:rPr>
          <w:b/>
          <w:sz w:val="32"/>
          <w:szCs w:val="32"/>
        </w:rPr>
        <w:t>CRO</w:t>
      </w:r>
      <w:r>
        <w:rPr>
          <w:rFonts w:hint="eastAsia"/>
          <w:b/>
          <w:sz w:val="32"/>
          <w:szCs w:val="32"/>
        </w:rPr>
        <w:t>：</w:t>
      </w:r>
    </w:p>
    <w:p>
      <w:pPr>
        <w:ind w:firstLine="482" w:firstLineChars="200"/>
        <w:outlineLvl w:val="0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以下</w:t>
      </w:r>
      <w:r>
        <w:rPr>
          <w:b/>
          <w:sz w:val="24"/>
          <w:szCs w:val="24"/>
        </w:rPr>
        <w:t>是我院伦理委员会</w:t>
      </w:r>
      <w:r>
        <w:rPr>
          <w:rFonts w:hint="eastAsia"/>
          <w:b/>
          <w:sz w:val="24"/>
          <w:szCs w:val="24"/>
        </w:rPr>
        <w:t>的药物</w:t>
      </w:r>
      <w:r>
        <w:rPr>
          <w:b/>
          <w:sz w:val="24"/>
          <w:szCs w:val="24"/>
        </w:rPr>
        <w:t>临床试验SUSAR</w:t>
      </w:r>
      <w:r>
        <w:rPr>
          <w:rFonts w:hint="eastAsia"/>
          <w:b/>
          <w:sz w:val="24"/>
          <w:szCs w:val="24"/>
        </w:rPr>
        <w:t>递交说明，</w:t>
      </w:r>
      <w:r>
        <w:rPr>
          <w:rFonts w:ascii="宋体" w:hAnsi="宋体" w:cs="宋体"/>
          <w:b/>
          <w:kern w:val="0"/>
          <w:sz w:val="24"/>
          <w:szCs w:val="24"/>
        </w:rPr>
        <w:t>从</w:t>
      </w:r>
      <w:r>
        <w:rPr>
          <w:rFonts w:hint="eastAsia" w:ascii="宋体" w:hAnsi="宋体" w:cs="宋体"/>
          <w:b/>
          <w:kern w:val="0"/>
          <w:sz w:val="24"/>
          <w:szCs w:val="24"/>
        </w:rPr>
        <w:t>202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3</w:t>
      </w:r>
      <w:r>
        <w:rPr>
          <w:rFonts w:ascii="宋体" w:hAnsi="宋体" w:cs="宋体"/>
          <w:b/>
          <w:kern w:val="0"/>
          <w:sz w:val="24"/>
          <w:szCs w:val="24"/>
        </w:rPr>
        <w:t>.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11.13</w:t>
      </w:r>
      <w:r>
        <w:rPr>
          <w:rFonts w:hint="eastAsia" w:ascii="宋体" w:hAnsi="宋体" w:cs="宋体"/>
          <w:b/>
          <w:kern w:val="0"/>
          <w:sz w:val="24"/>
          <w:szCs w:val="24"/>
        </w:rPr>
        <w:t>开始</w:t>
      </w:r>
      <w:r>
        <w:rPr>
          <w:rFonts w:ascii="宋体" w:hAnsi="宋体" w:cs="宋体"/>
          <w:b/>
          <w:kern w:val="0"/>
          <w:sz w:val="24"/>
          <w:szCs w:val="24"/>
        </w:rPr>
        <w:t>实施。</w:t>
      </w:r>
    </w:p>
    <w:p>
      <w:pPr>
        <w:ind w:firstLine="482" w:firstLineChars="20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请遵照</w:t>
      </w:r>
      <w:r>
        <w:rPr>
          <w:rFonts w:hint="eastAsia"/>
          <w:b/>
          <w:sz w:val="24"/>
          <w:szCs w:val="24"/>
        </w:rPr>
        <w:t>执行</w:t>
      </w:r>
      <w:r>
        <w:rPr>
          <w:b/>
          <w:sz w:val="24"/>
          <w:szCs w:val="24"/>
        </w:rPr>
        <w:t>，谢谢</w:t>
      </w:r>
      <w:r>
        <w:rPr>
          <w:rFonts w:hint="eastAsia"/>
          <w:b/>
          <w:sz w:val="24"/>
          <w:szCs w:val="24"/>
        </w:rPr>
        <w:t>。</w:t>
      </w:r>
    </w:p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（一）本院发生的</w:t>
      </w:r>
      <w:r>
        <w:rPr>
          <w:b/>
          <w:sz w:val="44"/>
          <w:szCs w:val="44"/>
        </w:rPr>
        <w:t xml:space="preserve">SUSAR 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递交类别：只</w:t>
      </w:r>
      <w:r>
        <w:rPr>
          <w:sz w:val="24"/>
          <w:szCs w:val="24"/>
        </w:rPr>
        <w:t>递交</w:t>
      </w:r>
      <w:r>
        <w:rPr>
          <w:rFonts w:hint="eastAsia"/>
          <w:sz w:val="24"/>
          <w:szCs w:val="24"/>
        </w:rPr>
        <w:t>SUSAR,不属于SUSAR的SAE不递交</w:t>
      </w:r>
      <w:r>
        <w:rPr>
          <w:sz w:val="24"/>
          <w:szCs w:val="24"/>
        </w:rPr>
        <w:t>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</w:t>
      </w:r>
      <w:r>
        <w:rPr>
          <w:rFonts w:hint="eastAsia"/>
          <w:sz w:val="24"/>
          <w:szCs w:val="24"/>
          <w:lang w:val="en-US" w:eastAsia="zh-CN"/>
        </w:rPr>
        <w:t>途径及</w:t>
      </w:r>
      <w:r>
        <w:rPr>
          <w:rFonts w:hint="eastAsia"/>
          <w:sz w:val="24"/>
          <w:szCs w:val="24"/>
        </w:rPr>
        <w:t>时限：研究者</w:t>
      </w:r>
      <w:r>
        <w:rPr>
          <w:rFonts w:hint="eastAsia"/>
          <w:sz w:val="24"/>
          <w:szCs w:val="24"/>
          <w:lang w:val="en-US" w:eastAsia="zh-CN"/>
        </w:rPr>
        <w:t>在</w:t>
      </w:r>
      <w:r>
        <w:rPr>
          <w:rFonts w:hint="eastAsia"/>
          <w:sz w:val="24"/>
          <w:szCs w:val="24"/>
        </w:rPr>
        <w:t>收到申办者提供</w:t>
      </w:r>
      <w:r>
        <w:rPr>
          <w:rFonts w:hint="eastAsia"/>
          <w:sz w:val="24"/>
          <w:szCs w:val="24"/>
          <w:lang w:val="en-US" w:eastAsia="zh-CN"/>
        </w:rPr>
        <w:t>的</w:t>
      </w:r>
      <w:r>
        <w:rPr>
          <w:b/>
          <w:sz w:val="44"/>
          <w:szCs w:val="44"/>
        </w:rPr>
        <w:t>SUSAR</w:t>
      </w:r>
      <w:r>
        <w:rPr>
          <w:rFonts w:hint="eastAsia"/>
          <w:sz w:val="24"/>
          <w:szCs w:val="24"/>
          <w:lang w:val="en-US" w:eastAsia="zh-CN"/>
        </w:rPr>
        <w:t>后，需要</w:t>
      </w:r>
      <w:r>
        <w:rPr>
          <w:rFonts w:hint="eastAsia"/>
          <w:sz w:val="24"/>
          <w:szCs w:val="24"/>
          <w:highlight w:val="none"/>
          <w:lang w:val="en-US" w:eastAsia="zh-CN"/>
        </w:rPr>
        <w:t>及时</w:t>
      </w:r>
      <w:r>
        <w:rPr>
          <w:rFonts w:hint="eastAsia"/>
          <w:sz w:val="24"/>
          <w:szCs w:val="24"/>
        </w:rPr>
        <w:t>上报本伦理委员会。</w:t>
      </w:r>
      <w:r>
        <w:rPr>
          <w:b/>
          <w:sz w:val="44"/>
          <w:szCs w:val="44"/>
        </w:rPr>
        <w:t xml:space="preserve"> 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SUSAR</w:t>
      </w:r>
      <w:r>
        <w:rPr>
          <w:rFonts w:hint="eastAsia"/>
          <w:sz w:val="24"/>
          <w:szCs w:val="24"/>
        </w:rPr>
        <w:t>报告</w:t>
      </w:r>
      <w:r>
        <w:rPr>
          <w:rFonts w:hint="eastAsia"/>
          <w:sz w:val="24"/>
          <w:szCs w:val="24"/>
          <w:lang w:val="en-US" w:eastAsia="zh-CN"/>
        </w:rPr>
        <w:t>内容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eastAsia="zh-CN"/>
        </w:rPr>
        <w:t>建议</w:t>
      </w:r>
      <w:r>
        <w:rPr>
          <w:sz w:val="24"/>
          <w:szCs w:val="24"/>
        </w:rPr>
        <w:t>使用我院的</w:t>
      </w:r>
      <w:r>
        <w:rPr>
          <w:rFonts w:hint="eastAsia"/>
          <w:sz w:val="24"/>
          <w:szCs w:val="24"/>
          <w:lang w:eastAsia="zh-CN"/>
        </w:rPr>
        <w:t>安全性事件（</w:t>
      </w:r>
      <w:r>
        <w:rPr>
          <w:rFonts w:hint="eastAsia"/>
          <w:sz w:val="24"/>
          <w:szCs w:val="24"/>
        </w:rPr>
        <w:t>SAE</w:t>
      </w:r>
      <w:r>
        <w:rPr>
          <w:rFonts w:hint="eastAsia"/>
          <w:sz w:val="24"/>
          <w:szCs w:val="24"/>
          <w:lang w:val="en-US" w:eastAsia="zh-CN"/>
        </w:rPr>
        <w:t>/SUSAR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报告表</w:t>
      </w:r>
      <w:r>
        <w:rPr>
          <w:sz w:val="24"/>
          <w:szCs w:val="24"/>
        </w:rPr>
        <w:t>模板</w:t>
      </w:r>
      <w:r>
        <w:rPr>
          <w:rFonts w:hint="eastAsia"/>
          <w:sz w:val="24"/>
          <w:szCs w:val="24"/>
        </w:rPr>
        <w:t>。如果不使用我院的模板，需要包含我院模板中的相关内容。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递交文件类别：纸质版一份和电子版一份，两者完全对应（除了递交信）。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递交的本院SUSAR报告纸质版文件材料为（包含但不限于）：</w:t>
      </w:r>
    </w:p>
    <w:p>
      <w:pPr>
        <w:pStyle w:val="13"/>
        <w:numPr>
          <w:ilvl w:val="0"/>
          <w:numId w:val="2"/>
        </w:numPr>
        <w:ind w:left="840"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递交信（已本院PI或者课题负责人的名义递交，已签字，格式可参见模板）</w:t>
      </w:r>
    </w:p>
    <w:p>
      <w:pPr>
        <w:pStyle w:val="13"/>
        <w:numPr>
          <w:ilvl w:val="0"/>
          <w:numId w:val="2"/>
        </w:numPr>
        <w:ind w:left="84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SUSAR报告（已</w:t>
      </w:r>
      <w:r>
        <w:rPr>
          <w:rFonts w:hint="eastAsia" w:ascii="宋体" w:hAnsi="宋体" w:cs="宋体"/>
          <w:kern w:val="0"/>
          <w:sz w:val="24"/>
          <w:szCs w:val="21"/>
        </w:rPr>
        <w:t>签字，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建议</w:t>
      </w:r>
      <w:r>
        <w:rPr>
          <w:rFonts w:ascii="宋体" w:hAnsi="宋体" w:cs="宋体"/>
          <w:kern w:val="0"/>
          <w:sz w:val="24"/>
          <w:szCs w:val="21"/>
        </w:rPr>
        <w:t>使用我院</w:t>
      </w:r>
      <w:r>
        <w:rPr>
          <w:rFonts w:hint="eastAsia" w:ascii="宋体" w:hAnsi="宋体" w:cs="宋体"/>
          <w:kern w:val="0"/>
          <w:sz w:val="24"/>
          <w:szCs w:val="21"/>
        </w:rPr>
        <w:t>安全性事件（SAE/SUSAR）报告表模板</w:t>
      </w:r>
      <w:r>
        <w:rPr>
          <w:rFonts w:hint="eastAsia"/>
          <w:sz w:val="24"/>
          <w:szCs w:val="24"/>
        </w:rPr>
        <w:t>）；</w:t>
      </w:r>
    </w:p>
    <w:p>
      <w:pPr>
        <w:pStyle w:val="13"/>
        <w:numPr>
          <w:ilvl w:val="0"/>
          <w:numId w:val="2"/>
        </w:numPr>
        <w:ind w:left="840"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SUSAR 判定说明（本中心PI签字，申办方盖章）（如适用）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递交的本院SUSAR报告电子版</w:t>
      </w:r>
      <w:r>
        <w:rPr>
          <w:rFonts w:hint="eastAsia" w:ascii="宋体" w:hAnsi="宋体" w:cs="宋体"/>
          <w:kern w:val="0"/>
          <w:sz w:val="24"/>
          <w:szCs w:val="21"/>
        </w:rPr>
        <w:t>资料要通过CTMS系统上传（签字盖章的文件需要扫描签字盖章的文件，上传签字盖章的文件）。</w:t>
      </w:r>
    </w:p>
    <w:p>
      <w:pPr>
        <w:pStyle w:val="13"/>
        <w:numPr>
          <w:ilvl w:val="0"/>
          <w:numId w:val="3"/>
        </w:numPr>
        <w:ind w:left="840" w:hanging="420" w:firstLineChars="0"/>
        <w:rPr>
          <w:color w:val="auto"/>
          <w:sz w:val="24"/>
          <w:szCs w:val="24"/>
        </w:rPr>
      </w:pPr>
      <w:r>
        <w:rPr>
          <w:rFonts w:hint="eastAsia"/>
          <w:sz w:val="24"/>
          <w:szCs w:val="24"/>
        </w:rPr>
        <w:t>SUSAR报告（已</w:t>
      </w:r>
      <w:r>
        <w:rPr>
          <w:rFonts w:hint="eastAsia" w:ascii="宋体" w:hAnsi="宋体" w:cs="宋体"/>
          <w:kern w:val="0"/>
          <w:sz w:val="24"/>
          <w:szCs w:val="21"/>
        </w:rPr>
        <w:t>签字，</w:t>
      </w:r>
      <w:r>
        <w:rPr>
          <w:rFonts w:ascii="宋体" w:hAnsi="宋体" w:cs="宋体"/>
          <w:kern w:val="0"/>
          <w:sz w:val="24"/>
          <w:szCs w:val="21"/>
        </w:rPr>
        <w:t>使用我院</w:t>
      </w:r>
      <w:r>
        <w:rPr>
          <w:rFonts w:hint="eastAsia" w:ascii="宋体" w:hAnsi="宋体" w:cs="宋体"/>
          <w:kern w:val="0"/>
          <w:sz w:val="24"/>
          <w:szCs w:val="21"/>
        </w:rPr>
        <w:t>安全性事件（</w:t>
      </w:r>
      <w:r>
        <w:rPr>
          <w:rFonts w:hint="eastAsia" w:ascii="宋体" w:hAnsi="宋体" w:cs="宋体"/>
          <w:color w:val="auto"/>
          <w:kern w:val="0"/>
          <w:sz w:val="24"/>
          <w:szCs w:val="21"/>
        </w:rPr>
        <w:t>SAE/SUSAR）报告表模板</w:t>
      </w:r>
      <w:r>
        <w:rPr>
          <w:rFonts w:hint="eastAsia"/>
          <w:color w:val="auto"/>
          <w:sz w:val="24"/>
          <w:szCs w:val="24"/>
        </w:rPr>
        <w:t>）；</w:t>
      </w:r>
    </w:p>
    <w:p>
      <w:pPr>
        <w:pStyle w:val="13"/>
        <w:numPr>
          <w:ilvl w:val="0"/>
          <w:numId w:val="3"/>
        </w:numPr>
        <w:ind w:left="840"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SUSAR 判定说明（本中心PI签字</w:t>
      </w:r>
      <w:r>
        <w:rPr>
          <w:color w:val="auto"/>
          <w:sz w:val="24"/>
          <w:szCs w:val="24"/>
        </w:rPr>
        <w:t>，申办方盖章）</w:t>
      </w:r>
      <w:r>
        <w:rPr>
          <w:rFonts w:hint="eastAsia"/>
          <w:color w:val="auto"/>
          <w:sz w:val="24"/>
          <w:szCs w:val="24"/>
          <w:lang w:eastAsia="zh-CN"/>
        </w:rPr>
        <w:t>（如适用）</w:t>
      </w:r>
    </w:p>
    <w:p>
      <w:pPr>
        <w:pStyle w:val="13"/>
        <w:numPr>
          <w:ilvl w:val="0"/>
          <w:numId w:val="3"/>
        </w:numPr>
        <w:ind w:left="840" w:hanging="42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 本院SUSAR报告登记表</w:t>
      </w:r>
    </w:p>
    <w:p>
      <w:pPr>
        <w:pStyle w:val="13"/>
        <w:ind w:left="2316" w:leftChars="247" w:hanging="1797" w:hangingChars="749"/>
        <w:jc w:val="left"/>
        <w:rPr>
          <w:rStyle w:val="10"/>
          <w:rFonts w:ascii="宋体" w:hAnsi="宋体" w:cs="宋体"/>
          <w:kern w:val="0"/>
          <w:sz w:val="24"/>
          <w:szCs w:val="21"/>
          <w:u w:val="none"/>
        </w:rPr>
      </w:pPr>
      <w:r>
        <w:rPr>
          <w:rFonts w:hint="eastAsia" w:ascii="宋体" w:hAnsi="宋体" w:cs="宋体"/>
          <w:kern w:val="0"/>
          <w:sz w:val="24"/>
          <w:szCs w:val="21"/>
        </w:rPr>
        <w:t>上传的网</w:t>
      </w:r>
      <w:r>
        <w:rPr>
          <w:rFonts w:hint="eastAsia" w:ascii="宋体" w:hAnsi="宋体" w:cs="宋体"/>
          <w:color w:val="auto"/>
          <w:kern w:val="0"/>
          <w:sz w:val="24"/>
          <w:szCs w:val="21"/>
        </w:rPr>
        <w:t>址为：</w:t>
      </w:r>
      <w:r>
        <w:rPr>
          <w:rFonts w:hint="eastAsia" w:ascii="宋体" w:hAnsi="宋体" w:cs="宋体"/>
          <w:color w:val="auto"/>
          <w:kern w:val="0"/>
          <w:sz w:val="24"/>
          <w:szCs w:val="21"/>
          <w:lang w:val="en-US" w:eastAsia="zh-CN"/>
        </w:rPr>
        <w:t xml:space="preserve"> </w:t>
      </w:r>
      <w:r>
        <w:rPr>
          <w:rStyle w:val="10"/>
          <w:rFonts w:hint="eastAsia" w:ascii="宋体" w:hAnsi="宋体" w:cs="宋体"/>
          <w:color w:val="auto"/>
          <w:kern w:val="0"/>
          <w:sz w:val="24"/>
          <w:szCs w:val="21"/>
          <w:u w:val="none"/>
        </w:rPr>
        <w:t>http://124.127.115.4:9001/ctms</w:t>
      </w:r>
      <w:r>
        <w:rPr>
          <w:rStyle w:val="10"/>
          <w:rFonts w:hint="eastAsia" w:ascii="宋体" w:hAnsi="宋体" w:cs="宋体"/>
          <w:color w:val="auto"/>
          <w:kern w:val="0"/>
          <w:sz w:val="24"/>
          <w:szCs w:val="21"/>
          <w:u w:val="none"/>
          <w:lang w:eastAsia="zh-CN"/>
        </w:rPr>
        <w:t>（外网）</w:t>
      </w:r>
      <w:r>
        <w:rPr>
          <w:rStyle w:val="10"/>
          <w:rFonts w:hint="eastAsia" w:ascii="宋体" w:hAnsi="宋体" w:cs="宋体"/>
          <w:color w:val="auto"/>
          <w:kern w:val="0"/>
          <w:sz w:val="24"/>
          <w:szCs w:val="21"/>
          <w:u w:val="none"/>
        </w:rPr>
        <w:t>http://172.16.254.42:8080/ctms</w:t>
      </w:r>
      <w:r>
        <w:rPr>
          <w:rStyle w:val="10"/>
          <w:rFonts w:hint="eastAsia" w:ascii="宋体" w:hAnsi="宋体" w:cs="宋体"/>
          <w:color w:val="auto"/>
          <w:kern w:val="0"/>
          <w:sz w:val="24"/>
          <w:szCs w:val="21"/>
          <w:u w:val="none"/>
          <w:lang w:eastAsia="zh-CN"/>
        </w:rPr>
        <w:t>（内网）</w:t>
      </w:r>
      <w:r>
        <w:rPr>
          <w:rStyle w:val="10"/>
          <w:rFonts w:hint="eastAsia" w:ascii="宋体" w:hAnsi="宋体" w:cs="宋体"/>
          <w:color w:val="auto"/>
          <w:kern w:val="0"/>
          <w:sz w:val="24"/>
          <w:szCs w:val="21"/>
          <w:u w:val="none"/>
        </w:rPr>
        <w:t> </w:t>
      </w:r>
    </w:p>
    <w:p>
      <w:pPr>
        <w:pStyle w:val="1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</w:t>
      </w:r>
      <w:r>
        <w:rPr>
          <w:rFonts w:hint="eastAsia"/>
          <w:sz w:val="24"/>
          <w:szCs w:val="24"/>
          <w:lang w:eastAsia="zh-CN"/>
        </w:rPr>
        <w:t>递交纸质版时</w:t>
      </w:r>
      <w:r>
        <w:rPr>
          <w:rFonts w:hint="eastAsia"/>
          <w:sz w:val="24"/>
          <w:szCs w:val="24"/>
        </w:rPr>
        <w:t>会对电子版资料和纸质版资料进行形式审查。</w:t>
      </w:r>
    </w:p>
    <w:p>
      <w:pPr>
        <w:pStyle w:val="13"/>
        <w:ind w:left="72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>
      <w:pPr>
        <w:pStyle w:val="13"/>
        <w:ind w:left="0" w:leftChars="0" w:firstLine="0" w:firstLineChars="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未经申办者评估判定的SUSAR无需向本伦理委员会递交。</w:t>
      </w:r>
    </w:p>
    <w:p>
      <w:pPr>
        <w:pStyle w:val="13"/>
        <w:ind w:left="720" w:firstLine="0" w:firstLineChars="0"/>
        <w:rPr>
          <w:rFonts w:hint="eastAsia"/>
          <w:sz w:val="24"/>
          <w:szCs w:val="24"/>
        </w:rPr>
      </w:pPr>
    </w:p>
    <w:p>
      <w:pPr>
        <w:pStyle w:val="13"/>
        <w:numPr>
          <w:numId w:val="0"/>
        </w:numPr>
        <w:ind w:leftChars="0"/>
        <w:rPr>
          <w:sz w:val="24"/>
          <w:szCs w:val="24"/>
        </w:rPr>
      </w:pPr>
    </w:p>
    <w:p>
      <w:pPr>
        <w:jc w:val="center"/>
        <w:outlineLvl w:val="0"/>
        <w:rPr>
          <w:b/>
          <w:sz w:val="44"/>
          <w:szCs w:val="44"/>
        </w:rPr>
      </w:pPr>
    </w:p>
    <w:p>
      <w:pPr>
        <w:jc w:val="center"/>
        <w:outlineLvl w:val="0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（二）外院发生的SUSAR等</w:t>
      </w:r>
      <w:r>
        <w:rPr>
          <w:b/>
          <w:sz w:val="44"/>
          <w:szCs w:val="44"/>
        </w:rPr>
        <w:t xml:space="preserve">安全性信息 </w:t>
      </w:r>
    </w:p>
    <w:p>
      <w:pPr>
        <w:pStyle w:val="1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递交途径：研究者</w:t>
      </w:r>
      <w:r>
        <w:rPr>
          <w:rFonts w:hint="eastAsia"/>
          <w:sz w:val="24"/>
          <w:szCs w:val="24"/>
          <w:lang w:eastAsia="zh-CN"/>
        </w:rPr>
        <w:t>在收到申办方递交的</w:t>
      </w:r>
      <w:r>
        <w:rPr>
          <w:rFonts w:hint="eastAsia"/>
          <w:sz w:val="24"/>
          <w:szCs w:val="24"/>
        </w:rPr>
        <w:t>外院S</w:t>
      </w:r>
      <w:r>
        <w:rPr>
          <w:rFonts w:hint="eastAsia"/>
          <w:sz w:val="24"/>
          <w:szCs w:val="24"/>
          <w:lang w:val="en-US" w:eastAsia="zh-CN"/>
        </w:rPr>
        <w:t>USAR</w:t>
      </w:r>
      <w:r>
        <w:rPr>
          <w:rFonts w:hint="eastAsia"/>
          <w:sz w:val="24"/>
          <w:szCs w:val="24"/>
        </w:rPr>
        <w:t>等安全性信息</w:t>
      </w:r>
      <w:r>
        <w:rPr>
          <w:rFonts w:hint="eastAsia"/>
          <w:sz w:val="24"/>
          <w:szCs w:val="24"/>
          <w:lang w:eastAsia="zh-CN"/>
        </w:rPr>
        <w:t>后，</w:t>
      </w:r>
      <w:r>
        <w:rPr>
          <w:rFonts w:hint="eastAsia"/>
          <w:sz w:val="24"/>
          <w:szCs w:val="24"/>
        </w:rPr>
        <w:t>审阅并签字后，递交本院伦理委员会。</w:t>
      </w:r>
      <w:r>
        <w:rPr>
          <w:sz w:val="24"/>
          <w:szCs w:val="24"/>
        </w:rPr>
        <w:t>不</w:t>
      </w:r>
      <w:r>
        <w:rPr>
          <w:rFonts w:hint="eastAsia"/>
          <w:sz w:val="24"/>
          <w:szCs w:val="24"/>
        </w:rPr>
        <w:t>接收申办者</w:t>
      </w:r>
      <w:r>
        <w:rPr>
          <w:sz w:val="24"/>
          <w:szCs w:val="24"/>
        </w:rPr>
        <w:t>直接</w:t>
      </w:r>
      <w:r>
        <w:rPr>
          <w:rFonts w:hint="eastAsia"/>
          <w:sz w:val="24"/>
          <w:szCs w:val="24"/>
        </w:rPr>
        <w:t>将外院SUSAR等</w:t>
      </w:r>
      <w:r>
        <w:rPr>
          <w:sz w:val="24"/>
          <w:szCs w:val="24"/>
        </w:rPr>
        <w:t>安全性信息递交</w:t>
      </w:r>
      <w:r>
        <w:rPr>
          <w:rFonts w:hint="eastAsia"/>
          <w:sz w:val="24"/>
          <w:szCs w:val="24"/>
        </w:rPr>
        <w:t>本</w:t>
      </w:r>
      <w:r>
        <w:rPr>
          <w:sz w:val="24"/>
          <w:szCs w:val="24"/>
        </w:rPr>
        <w:t>伦理委员会</w:t>
      </w:r>
      <w:r>
        <w:rPr>
          <w:rFonts w:hint="eastAsia"/>
          <w:sz w:val="24"/>
          <w:szCs w:val="24"/>
        </w:rPr>
        <w:t>。</w:t>
      </w:r>
    </w:p>
    <w:p>
      <w:pPr>
        <w:pStyle w:val="1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纸质版一份和电子版一份，两者完全对应（除了递交信）。</w:t>
      </w:r>
    </w:p>
    <w:p>
      <w:pPr>
        <w:pStyle w:val="1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递交的外院SUSAR等</w:t>
      </w:r>
      <w:r>
        <w:rPr>
          <w:sz w:val="24"/>
          <w:szCs w:val="24"/>
        </w:rPr>
        <w:t>安全性信息</w:t>
      </w:r>
      <w:r>
        <w:rPr>
          <w:rFonts w:hint="eastAsia"/>
          <w:sz w:val="24"/>
          <w:szCs w:val="24"/>
        </w:rPr>
        <w:t>纸质版文件材料为（包含但不限于）：</w:t>
      </w:r>
    </w:p>
    <w:p>
      <w:pPr>
        <w:pStyle w:val="13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递交信（已本院PI或者课题负责人的名义递交，已签字，格式可参见模板）</w:t>
      </w:r>
    </w:p>
    <w:p>
      <w:pPr>
        <w:pStyle w:val="13"/>
        <w:numPr>
          <w:ilvl w:val="0"/>
          <w:numId w:val="5"/>
        </w:numPr>
        <w:ind w:firstLineChars="0"/>
        <w:rPr>
          <w:sz w:val="24"/>
        </w:rPr>
      </w:pPr>
      <w:r>
        <w:rPr>
          <w:rFonts w:hint="eastAsia"/>
          <w:sz w:val="24"/>
        </w:rPr>
        <w:t>外院SUSAR等</w:t>
      </w:r>
      <w:r>
        <w:rPr>
          <w:sz w:val="24"/>
        </w:rPr>
        <w:t>安全性信息</w:t>
      </w:r>
      <w:r>
        <w:rPr>
          <w:rFonts w:hint="eastAsia"/>
          <w:sz w:val="24"/>
        </w:rPr>
        <w:t>报告（已签字）</w:t>
      </w:r>
    </w:p>
    <w:p>
      <w:pPr>
        <w:pStyle w:val="13"/>
        <w:numPr>
          <w:ilvl w:val="0"/>
          <w:numId w:val="5"/>
        </w:numPr>
        <w:ind w:firstLineChars="0"/>
        <w:rPr>
          <w:color w:val="auto"/>
          <w:sz w:val="24"/>
        </w:rPr>
      </w:pPr>
      <w:r>
        <w:rPr>
          <w:rFonts w:hint="eastAsia"/>
          <w:color w:val="auto"/>
          <w:sz w:val="24"/>
          <w:szCs w:val="24"/>
        </w:rPr>
        <w:t>SUSAR 判定说明（本中心PI签字</w:t>
      </w:r>
      <w:r>
        <w:rPr>
          <w:color w:val="auto"/>
          <w:sz w:val="24"/>
          <w:szCs w:val="24"/>
        </w:rPr>
        <w:t>，申办方盖章）</w:t>
      </w:r>
    </w:p>
    <w:p>
      <w:pPr>
        <w:pStyle w:val="13"/>
        <w:numPr>
          <w:ilvl w:val="0"/>
          <w:numId w:val="5"/>
        </w:numPr>
        <w:ind w:firstLineChars="0"/>
        <w:rPr>
          <w:color w:val="auto"/>
          <w:sz w:val="24"/>
        </w:rPr>
      </w:pPr>
      <w:r>
        <w:rPr>
          <w:rFonts w:hint="eastAsia"/>
          <w:color w:val="auto"/>
          <w:sz w:val="24"/>
        </w:rPr>
        <w:t>表格</w:t>
      </w:r>
      <w:r>
        <w:rPr>
          <w:color w:val="auto"/>
          <w:sz w:val="24"/>
        </w:rPr>
        <w:t>2</w:t>
      </w:r>
      <w:r>
        <w:rPr>
          <w:rFonts w:hint="eastAsia"/>
          <w:color w:val="auto"/>
          <w:sz w:val="24"/>
        </w:rPr>
        <w:t>（外院SUSAR等</w:t>
      </w:r>
      <w:r>
        <w:rPr>
          <w:color w:val="auto"/>
          <w:sz w:val="24"/>
        </w:rPr>
        <w:t>安全性信息</w:t>
      </w:r>
      <w:r>
        <w:rPr>
          <w:rFonts w:hint="eastAsia"/>
          <w:color w:val="auto"/>
          <w:sz w:val="24"/>
        </w:rPr>
        <w:t>登记表）</w:t>
      </w:r>
      <w:r>
        <w:rPr>
          <w:rFonts w:hint="eastAsia"/>
          <w:color w:val="auto"/>
          <w:sz w:val="24"/>
          <w:lang w:val="en-US" w:eastAsia="zh-CN"/>
        </w:rPr>
        <w:t>2份</w:t>
      </w:r>
      <w:r>
        <w:rPr>
          <w:rFonts w:hint="eastAsia"/>
          <w:color w:val="auto"/>
          <w:sz w:val="24"/>
        </w:rPr>
        <w:t>；</w:t>
      </w:r>
    </w:p>
    <w:p>
      <w:pPr>
        <w:pStyle w:val="13"/>
        <w:numPr>
          <w:ilvl w:val="0"/>
          <w:numId w:val="4"/>
        </w:numPr>
        <w:ind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递交的外院SUSAR等</w:t>
      </w:r>
      <w:r>
        <w:rPr>
          <w:color w:val="auto"/>
          <w:sz w:val="24"/>
          <w:szCs w:val="24"/>
        </w:rPr>
        <w:t>安全性信息</w:t>
      </w:r>
      <w:r>
        <w:rPr>
          <w:rFonts w:hint="eastAsia" w:ascii="宋体" w:hAnsi="宋体" w:cs="宋体"/>
          <w:color w:val="auto"/>
          <w:kern w:val="0"/>
          <w:sz w:val="24"/>
          <w:szCs w:val="21"/>
        </w:rPr>
        <w:t>电子版资料要通过CTMS系统上传。</w:t>
      </w:r>
    </w:p>
    <w:p>
      <w:pPr>
        <w:pStyle w:val="13"/>
        <w:numPr>
          <w:ilvl w:val="0"/>
          <w:numId w:val="5"/>
        </w:numPr>
        <w:ind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外院SUSAR等</w:t>
      </w:r>
      <w:r>
        <w:rPr>
          <w:color w:val="auto"/>
          <w:sz w:val="24"/>
          <w:szCs w:val="24"/>
        </w:rPr>
        <w:t>安全性信息</w:t>
      </w:r>
      <w:r>
        <w:rPr>
          <w:rFonts w:hint="eastAsia"/>
          <w:color w:val="auto"/>
          <w:sz w:val="24"/>
          <w:szCs w:val="24"/>
        </w:rPr>
        <w:t>报告（已</w:t>
      </w:r>
      <w:r>
        <w:rPr>
          <w:rFonts w:hint="eastAsia" w:ascii="宋体" w:hAnsi="宋体" w:cs="宋体"/>
          <w:color w:val="auto"/>
          <w:kern w:val="0"/>
          <w:sz w:val="24"/>
          <w:szCs w:val="21"/>
        </w:rPr>
        <w:t>签字</w:t>
      </w:r>
      <w:r>
        <w:rPr>
          <w:rFonts w:hint="eastAsia"/>
          <w:color w:val="auto"/>
          <w:sz w:val="24"/>
          <w:szCs w:val="24"/>
        </w:rPr>
        <w:t>）</w:t>
      </w:r>
    </w:p>
    <w:p>
      <w:pPr>
        <w:pStyle w:val="13"/>
        <w:numPr>
          <w:ilvl w:val="0"/>
          <w:numId w:val="5"/>
        </w:numPr>
        <w:ind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SUSAR 判定说明（本中心PI签字</w:t>
      </w:r>
      <w:r>
        <w:rPr>
          <w:color w:val="auto"/>
          <w:sz w:val="24"/>
          <w:szCs w:val="24"/>
        </w:rPr>
        <w:t>，申办方盖章）</w:t>
      </w:r>
    </w:p>
    <w:p>
      <w:pPr>
        <w:pStyle w:val="13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表格</w:t>
      </w:r>
      <w:r>
        <w:rPr>
          <w:sz w:val="24"/>
          <w:szCs w:val="24"/>
        </w:rPr>
        <w:t>2</w:t>
      </w:r>
      <w:r>
        <w:rPr>
          <w:rFonts w:hint="eastAsia"/>
          <w:sz w:val="24"/>
        </w:rPr>
        <w:t>（外院SUSAR等</w:t>
      </w:r>
      <w:r>
        <w:rPr>
          <w:sz w:val="24"/>
        </w:rPr>
        <w:t>安全性信息</w:t>
      </w:r>
      <w:r>
        <w:rPr>
          <w:rFonts w:hint="eastAsia"/>
          <w:sz w:val="24"/>
        </w:rPr>
        <w:t>登记表）</w:t>
      </w:r>
      <w:r>
        <w:rPr>
          <w:rFonts w:hint="eastAsia"/>
          <w:sz w:val="24"/>
          <w:szCs w:val="24"/>
        </w:rPr>
        <w:t>；</w:t>
      </w:r>
    </w:p>
    <w:p>
      <w:pPr>
        <w:pStyle w:val="13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电子版上传后，请及时递交对应的纸质版资料，</w:t>
      </w:r>
      <w:r>
        <w:rPr>
          <w:rFonts w:hint="eastAsia"/>
          <w:sz w:val="24"/>
          <w:szCs w:val="24"/>
          <w:lang w:eastAsia="zh-CN"/>
        </w:rPr>
        <w:t>递交纸质版时</w:t>
      </w:r>
      <w:r>
        <w:rPr>
          <w:rFonts w:hint="eastAsia"/>
          <w:sz w:val="24"/>
          <w:szCs w:val="24"/>
        </w:rPr>
        <w:t>对电子版资料和纸质版资料进行形式审查。</w:t>
      </w:r>
    </w:p>
    <w:p>
      <w:pPr>
        <w:pStyle w:val="13"/>
        <w:ind w:left="72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电子版和纸质版形式审查均通过后（缺一不可），视为递交成功。</w:t>
      </w:r>
    </w:p>
    <w:p>
      <w:pPr>
        <w:pStyle w:val="13"/>
        <w:ind w:left="720" w:firstLine="0" w:firstLineChars="0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spacing w:line="264" w:lineRule="auto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未提及或不明白事宜请咨询北京佑安医院伦理委员会（010-83997028）</w:t>
      </w:r>
    </w:p>
    <w:p>
      <w:pPr>
        <w:spacing w:line="264" w:lineRule="auto"/>
        <w:rPr>
          <w:rFonts w:hint="default" w:ascii="宋体" w:hAnsi="宋体" w:cs="宋体" w:eastAsiaTheme="minorEastAsia"/>
          <w:kern w:val="0"/>
          <w:sz w:val="24"/>
          <w:szCs w:val="21"/>
          <w:lang w:val="en-US" w:eastAsia="zh-CN"/>
        </w:rPr>
      </w:pPr>
    </w:p>
    <w:p>
      <w:pPr>
        <w:rPr>
          <w:sz w:val="24"/>
          <w:szCs w:val="24"/>
        </w:rPr>
      </w:pPr>
    </w:p>
    <w:p>
      <w:pPr>
        <w:pStyle w:val="13"/>
        <w:ind w:left="720"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首都医科大学附属北京佑安医院伦理委员会</w:t>
      </w: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13</w:t>
      </w:r>
      <w:r>
        <w:rPr>
          <w:rFonts w:hint="eastAsia"/>
          <w:sz w:val="28"/>
          <w:szCs w:val="28"/>
        </w:rPr>
        <w:t>日</w:t>
      </w: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pStyle w:val="13"/>
        <w:ind w:left="720" w:firstLine="0" w:firstLineChars="0"/>
        <w:jc w:val="center"/>
        <w:rPr>
          <w:rFonts w:hint="eastAsia"/>
          <w:sz w:val="28"/>
          <w:szCs w:val="28"/>
        </w:rPr>
      </w:pPr>
    </w:p>
    <w:p>
      <w:pPr>
        <w:spacing w:line="264" w:lineRule="auto"/>
        <w:rPr>
          <w:sz w:val="28"/>
          <w:szCs w:val="28"/>
        </w:rPr>
      </w:pPr>
    </w:p>
    <w:p>
      <w:pPr>
        <w:spacing w:line="264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sz w:val="21"/>
        <w:szCs w:val="21"/>
      </w:rPr>
    </w:pPr>
    <w:r>
      <w:rPr>
        <w:rFonts w:hint="eastAsia"/>
        <w:sz w:val="21"/>
        <w:szCs w:val="21"/>
      </w:rPr>
      <w:t>首都医科大学附属北京佑安医院</w:t>
    </w:r>
    <w:bookmarkStart w:id="0" w:name="_GoBack"/>
    <w:bookmarkEnd w:id="0"/>
    <w:r>
      <w:rPr>
        <w:rFonts w:hint="eastAsia"/>
        <w:sz w:val="21"/>
        <w:szCs w:val="21"/>
      </w:rPr>
      <w:t>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AC778D"/>
    <w:multiLevelType w:val="multilevel"/>
    <w:tmpl w:val="12AC778D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5C68A3"/>
    <w:multiLevelType w:val="multilevel"/>
    <w:tmpl w:val="175C68A3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7F7CEF"/>
    <w:multiLevelType w:val="multilevel"/>
    <w:tmpl w:val="487F7CEF"/>
    <w:lvl w:ilvl="0" w:tentative="0">
      <w:start w:val="1"/>
      <w:numFmt w:val="bullet"/>
      <w:lvlText w:val="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3">
    <w:nsid w:val="4C850937"/>
    <w:multiLevelType w:val="singleLevel"/>
    <w:tmpl w:val="4C85093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7321F93C"/>
    <w:multiLevelType w:val="singleLevel"/>
    <w:tmpl w:val="7321F93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FBC"/>
    <w:rsid w:val="000106D4"/>
    <w:rsid w:val="00026B5D"/>
    <w:rsid w:val="00030B62"/>
    <w:rsid w:val="00043167"/>
    <w:rsid w:val="00060A56"/>
    <w:rsid w:val="00061089"/>
    <w:rsid w:val="00097DCD"/>
    <w:rsid w:val="000D6F05"/>
    <w:rsid w:val="000E4840"/>
    <w:rsid w:val="000F49C3"/>
    <w:rsid w:val="001147B3"/>
    <w:rsid w:val="001212C9"/>
    <w:rsid w:val="001327A7"/>
    <w:rsid w:val="00135796"/>
    <w:rsid w:val="001437BB"/>
    <w:rsid w:val="001946DD"/>
    <w:rsid w:val="001A41A6"/>
    <w:rsid w:val="001B031E"/>
    <w:rsid w:val="001C66BB"/>
    <w:rsid w:val="001D0431"/>
    <w:rsid w:val="001D067E"/>
    <w:rsid w:val="001D1F2D"/>
    <w:rsid w:val="001D2146"/>
    <w:rsid w:val="001E531D"/>
    <w:rsid w:val="001F3DA9"/>
    <w:rsid w:val="00214FE7"/>
    <w:rsid w:val="002546AC"/>
    <w:rsid w:val="00266256"/>
    <w:rsid w:val="00277EC9"/>
    <w:rsid w:val="00291F4D"/>
    <w:rsid w:val="0029298F"/>
    <w:rsid w:val="002C5037"/>
    <w:rsid w:val="002D0AF4"/>
    <w:rsid w:val="002D2F04"/>
    <w:rsid w:val="002F70E5"/>
    <w:rsid w:val="002F727C"/>
    <w:rsid w:val="00316BD7"/>
    <w:rsid w:val="00354CF1"/>
    <w:rsid w:val="00354D34"/>
    <w:rsid w:val="00372E4F"/>
    <w:rsid w:val="003A761A"/>
    <w:rsid w:val="003C5F95"/>
    <w:rsid w:val="00405FF2"/>
    <w:rsid w:val="00417695"/>
    <w:rsid w:val="00421D1D"/>
    <w:rsid w:val="00437B7D"/>
    <w:rsid w:val="004A0267"/>
    <w:rsid w:val="004A04C8"/>
    <w:rsid w:val="004A1E76"/>
    <w:rsid w:val="004A7794"/>
    <w:rsid w:val="004C5939"/>
    <w:rsid w:val="004E2150"/>
    <w:rsid w:val="004F11F7"/>
    <w:rsid w:val="00505CD9"/>
    <w:rsid w:val="0051557E"/>
    <w:rsid w:val="0055591B"/>
    <w:rsid w:val="00575EC3"/>
    <w:rsid w:val="005816D5"/>
    <w:rsid w:val="00591E1C"/>
    <w:rsid w:val="005A6DDC"/>
    <w:rsid w:val="005C5A11"/>
    <w:rsid w:val="005E64C9"/>
    <w:rsid w:val="0060545C"/>
    <w:rsid w:val="00611A56"/>
    <w:rsid w:val="00623688"/>
    <w:rsid w:val="00627A5A"/>
    <w:rsid w:val="00630E7B"/>
    <w:rsid w:val="00632F39"/>
    <w:rsid w:val="00643FBC"/>
    <w:rsid w:val="00671CD4"/>
    <w:rsid w:val="00675D2B"/>
    <w:rsid w:val="00695431"/>
    <w:rsid w:val="006B705B"/>
    <w:rsid w:val="006C51FC"/>
    <w:rsid w:val="006D1327"/>
    <w:rsid w:val="006D3948"/>
    <w:rsid w:val="006E7937"/>
    <w:rsid w:val="006F6CC3"/>
    <w:rsid w:val="00710D1B"/>
    <w:rsid w:val="007114F8"/>
    <w:rsid w:val="007126A4"/>
    <w:rsid w:val="00724881"/>
    <w:rsid w:val="0073682A"/>
    <w:rsid w:val="00736E6A"/>
    <w:rsid w:val="00756423"/>
    <w:rsid w:val="00770686"/>
    <w:rsid w:val="0077633B"/>
    <w:rsid w:val="00777FCE"/>
    <w:rsid w:val="00792D5E"/>
    <w:rsid w:val="007D30BC"/>
    <w:rsid w:val="007D7D1B"/>
    <w:rsid w:val="007F6ED7"/>
    <w:rsid w:val="00803440"/>
    <w:rsid w:val="00811066"/>
    <w:rsid w:val="008147B4"/>
    <w:rsid w:val="00831898"/>
    <w:rsid w:val="008464A3"/>
    <w:rsid w:val="00854B47"/>
    <w:rsid w:val="00872899"/>
    <w:rsid w:val="00876AF0"/>
    <w:rsid w:val="008A373B"/>
    <w:rsid w:val="008C33E4"/>
    <w:rsid w:val="008C373C"/>
    <w:rsid w:val="008D7F1E"/>
    <w:rsid w:val="008F1B52"/>
    <w:rsid w:val="00900931"/>
    <w:rsid w:val="00902C71"/>
    <w:rsid w:val="00907055"/>
    <w:rsid w:val="00916AD6"/>
    <w:rsid w:val="0093501A"/>
    <w:rsid w:val="00940597"/>
    <w:rsid w:val="0095393F"/>
    <w:rsid w:val="009625D9"/>
    <w:rsid w:val="00967A0C"/>
    <w:rsid w:val="00996562"/>
    <w:rsid w:val="009967F0"/>
    <w:rsid w:val="009E4DEE"/>
    <w:rsid w:val="00A14AF0"/>
    <w:rsid w:val="00A3394B"/>
    <w:rsid w:val="00A35BF8"/>
    <w:rsid w:val="00A43DB8"/>
    <w:rsid w:val="00A539DD"/>
    <w:rsid w:val="00A62AEA"/>
    <w:rsid w:val="00A7221D"/>
    <w:rsid w:val="00A97122"/>
    <w:rsid w:val="00AA1987"/>
    <w:rsid w:val="00AC227E"/>
    <w:rsid w:val="00AD447F"/>
    <w:rsid w:val="00B017FB"/>
    <w:rsid w:val="00B26DD1"/>
    <w:rsid w:val="00B27707"/>
    <w:rsid w:val="00B42847"/>
    <w:rsid w:val="00B51305"/>
    <w:rsid w:val="00B6126F"/>
    <w:rsid w:val="00B6334D"/>
    <w:rsid w:val="00B8027A"/>
    <w:rsid w:val="00B850F0"/>
    <w:rsid w:val="00BD6F6F"/>
    <w:rsid w:val="00BE4533"/>
    <w:rsid w:val="00C079FB"/>
    <w:rsid w:val="00C2662E"/>
    <w:rsid w:val="00C26725"/>
    <w:rsid w:val="00C302DA"/>
    <w:rsid w:val="00C33952"/>
    <w:rsid w:val="00C44DB8"/>
    <w:rsid w:val="00C5567E"/>
    <w:rsid w:val="00CA6C48"/>
    <w:rsid w:val="00CC7DC9"/>
    <w:rsid w:val="00CD46E7"/>
    <w:rsid w:val="00D32436"/>
    <w:rsid w:val="00D46F32"/>
    <w:rsid w:val="00D47F96"/>
    <w:rsid w:val="00D5519D"/>
    <w:rsid w:val="00D575B3"/>
    <w:rsid w:val="00D66473"/>
    <w:rsid w:val="00D7042C"/>
    <w:rsid w:val="00D70ACC"/>
    <w:rsid w:val="00D85A72"/>
    <w:rsid w:val="00DB1AE8"/>
    <w:rsid w:val="00DC22FE"/>
    <w:rsid w:val="00DE37F8"/>
    <w:rsid w:val="00DF0921"/>
    <w:rsid w:val="00E245D6"/>
    <w:rsid w:val="00E4084E"/>
    <w:rsid w:val="00E40B25"/>
    <w:rsid w:val="00E7127D"/>
    <w:rsid w:val="00E858B8"/>
    <w:rsid w:val="00EC3DA8"/>
    <w:rsid w:val="00ED21E2"/>
    <w:rsid w:val="00ED41A8"/>
    <w:rsid w:val="00EE0E02"/>
    <w:rsid w:val="00EE2CB5"/>
    <w:rsid w:val="00EE7C97"/>
    <w:rsid w:val="00EF5D30"/>
    <w:rsid w:val="00F265B6"/>
    <w:rsid w:val="00F33905"/>
    <w:rsid w:val="00F47235"/>
    <w:rsid w:val="00F518CC"/>
    <w:rsid w:val="00F51DDB"/>
    <w:rsid w:val="00F551C3"/>
    <w:rsid w:val="00FA72E0"/>
    <w:rsid w:val="00FB37F6"/>
    <w:rsid w:val="00FC3F04"/>
    <w:rsid w:val="00FE152D"/>
    <w:rsid w:val="02680801"/>
    <w:rsid w:val="052460FB"/>
    <w:rsid w:val="0850558A"/>
    <w:rsid w:val="08590EDD"/>
    <w:rsid w:val="0A8E51AF"/>
    <w:rsid w:val="0CBA6DBF"/>
    <w:rsid w:val="0F9877BB"/>
    <w:rsid w:val="1AA318C8"/>
    <w:rsid w:val="22A86397"/>
    <w:rsid w:val="30D314BE"/>
    <w:rsid w:val="32F20BA1"/>
    <w:rsid w:val="384D63F4"/>
    <w:rsid w:val="38595180"/>
    <w:rsid w:val="39DB035F"/>
    <w:rsid w:val="4B7B576B"/>
    <w:rsid w:val="4EB70C79"/>
    <w:rsid w:val="4ECD6266"/>
    <w:rsid w:val="56834B4E"/>
    <w:rsid w:val="64E5089F"/>
    <w:rsid w:val="667543A2"/>
    <w:rsid w:val="66EC5C3C"/>
    <w:rsid w:val="674605F3"/>
    <w:rsid w:val="6AAC7554"/>
    <w:rsid w:val="6C9B563C"/>
    <w:rsid w:val="6D441163"/>
    <w:rsid w:val="71B63E66"/>
    <w:rsid w:val="7C0F66DD"/>
    <w:rsid w:val="7C5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字符"/>
    <w:basedOn w:val="8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237</Words>
  <Characters>1356</Characters>
  <Lines>11</Lines>
  <Paragraphs>3</Paragraphs>
  <TotalTime>5</TotalTime>
  <ScaleCrop>false</ScaleCrop>
  <LinksUpToDate>false</LinksUpToDate>
  <CharactersWithSpaces>1590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2015-09-24T07:17:00Z</dcterms:created>
  <dc:creator>微软用户</dc:creator>
  <cp:lastModifiedBy>DELL</cp:lastModifiedBy>
  <dcterms:modified xsi:type="dcterms:W3CDTF">2023-11-16T12:51:20Z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C42A6AC18E9F40CABA5757290D7C9D7A</vt:lpwstr>
  </property>
</Properties>
</file>